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8D7B1D" w:rsidRPr="00D170E7">
        <w:rPr>
          <w:rFonts w:ascii="Times New Roman" w:eastAsia="Calibri" w:hAnsi="Times New Roman" w:cs="Times New Roman"/>
          <w:sz w:val="24"/>
          <w:szCs w:val="24"/>
        </w:rPr>
        <w:t>услуги на право заключения контракта на приобретение автомобильного бензина марки АИ-92 в 201</w:t>
      </w:r>
      <w:r w:rsidR="008D7B1D">
        <w:rPr>
          <w:rFonts w:ascii="Times New Roman" w:eastAsia="Calibri" w:hAnsi="Times New Roman" w:cs="Times New Roman"/>
          <w:sz w:val="24"/>
          <w:szCs w:val="24"/>
        </w:rPr>
        <w:t>9</w:t>
      </w:r>
      <w:r w:rsidR="008D7B1D" w:rsidRPr="00D170E7">
        <w:rPr>
          <w:rFonts w:ascii="Times New Roman" w:eastAsia="Calibri" w:hAnsi="Times New Roman" w:cs="Times New Roman"/>
          <w:sz w:val="24"/>
          <w:szCs w:val="24"/>
        </w:rPr>
        <w:t xml:space="preserve"> г. с использованием топливных карт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8D7B1D" w:rsidRPr="00D170E7">
        <w:rPr>
          <w:rFonts w:ascii="Times New Roman" w:eastAsia="Calibri" w:hAnsi="Times New Roman" w:cs="Times New Roman"/>
          <w:sz w:val="24"/>
          <w:szCs w:val="24"/>
        </w:rPr>
        <w:t>оказание услуг на право заключения контракта на приобретение автомобильного бензина марки АИ-92 в 201</w:t>
      </w:r>
      <w:r w:rsidR="008D7B1D">
        <w:rPr>
          <w:rFonts w:ascii="Times New Roman" w:eastAsia="Calibri" w:hAnsi="Times New Roman" w:cs="Times New Roman"/>
          <w:sz w:val="24"/>
          <w:szCs w:val="24"/>
        </w:rPr>
        <w:t>9</w:t>
      </w:r>
      <w:r w:rsidR="008D7B1D" w:rsidRPr="00D170E7">
        <w:rPr>
          <w:rFonts w:ascii="Times New Roman" w:eastAsia="Calibri" w:hAnsi="Times New Roman" w:cs="Times New Roman"/>
          <w:sz w:val="24"/>
          <w:szCs w:val="24"/>
        </w:rPr>
        <w:t xml:space="preserve"> г. с использованием топливных карт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B1D" w:rsidRPr="00D170E7" w:rsidRDefault="008D7B1D" w:rsidP="008D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E7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оказываемой услуге установлены в Разделе 3 «Техническое задание» документации </w:t>
      </w:r>
      <w:r w:rsidR="00B23A90">
        <w:rPr>
          <w:rFonts w:ascii="Times New Roman" w:hAnsi="Times New Roman" w:cs="Times New Roman"/>
          <w:bCs/>
          <w:sz w:val="24"/>
          <w:szCs w:val="24"/>
        </w:rPr>
        <w:t>о запросе цен в электронной форме.</w:t>
      </w:r>
      <w:r w:rsidR="00B23A90"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0E7">
        <w:rPr>
          <w:rFonts w:ascii="Times New Roman" w:hAnsi="Times New Roman" w:cs="Times New Roman"/>
          <w:bCs/>
          <w:sz w:val="24"/>
          <w:szCs w:val="24"/>
        </w:rPr>
        <w:t>Услуга, являющаяся предметом контракта, должна быть оказана в полном объеме в соответствии с документацией.</w:t>
      </w:r>
    </w:p>
    <w:p w:rsidR="008D7B1D" w:rsidRPr="00D170E7" w:rsidRDefault="008D7B1D" w:rsidP="008D7B1D">
      <w:pPr>
        <w:pStyle w:val="a3"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Услуга оказывается с 01.01.201</w:t>
      </w:r>
      <w:r>
        <w:rPr>
          <w:sz w:val="24"/>
          <w:szCs w:val="24"/>
        </w:rPr>
        <w:t>9</w:t>
      </w:r>
      <w:r w:rsidRPr="00D170E7">
        <w:rPr>
          <w:sz w:val="24"/>
          <w:szCs w:val="24"/>
        </w:rPr>
        <w:t xml:space="preserve"> </w:t>
      </w:r>
      <w:r w:rsidRPr="00D170E7">
        <w:rPr>
          <w:bCs/>
          <w:spacing w:val="-5"/>
          <w:sz w:val="24"/>
          <w:szCs w:val="24"/>
        </w:rPr>
        <w:t>до 31.12.201</w:t>
      </w:r>
      <w:r>
        <w:rPr>
          <w:bCs/>
          <w:spacing w:val="-5"/>
          <w:sz w:val="24"/>
          <w:szCs w:val="24"/>
        </w:rPr>
        <w:t>9</w:t>
      </w:r>
      <w:r w:rsidRPr="00D170E7">
        <w:rPr>
          <w:bCs/>
          <w:spacing w:val="-5"/>
          <w:sz w:val="24"/>
          <w:szCs w:val="24"/>
        </w:rPr>
        <w:t xml:space="preserve"> </w:t>
      </w:r>
      <w:r w:rsidRPr="00D170E7">
        <w:rPr>
          <w:sz w:val="24"/>
          <w:szCs w:val="24"/>
        </w:rPr>
        <w:t>года.</w:t>
      </w:r>
    </w:p>
    <w:p w:rsidR="008D7B1D" w:rsidRPr="00D170E7" w:rsidRDefault="008D7B1D" w:rsidP="008D7B1D">
      <w:pPr>
        <w:pStyle w:val="a3"/>
        <w:keepNext/>
        <w:keepLines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Место оказания услуги</w:t>
      </w:r>
      <w:r>
        <w:rPr>
          <w:sz w:val="24"/>
          <w:szCs w:val="24"/>
        </w:rPr>
        <w:t>:</w:t>
      </w:r>
      <w:r w:rsidRPr="00D170E7">
        <w:rPr>
          <w:sz w:val="24"/>
          <w:szCs w:val="24"/>
        </w:rPr>
        <w:t xml:space="preserve"> </w:t>
      </w:r>
      <w:r w:rsidRPr="00D170E7">
        <w:rPr>
          <w:rFonts w:eastAsia="Calibri"/>
          <w:sz w:val="24"/>
          <w:szCs w:val="24"/>
          <w:lang w:eastAsia="en-US"/>
        </w:rPr>
        <w:t xml:space="preserve">Отпуск топлива осуществляется </w:t>
      </w:r>
      <w:proofErr w:type="spellStart"/>
      <w:r w:rsidRPr="00D170E7">
        <w:rPr>
          <w:rFonts w:eastAsia="Calibri"/>
          <w:sz w:val="24"/>
          <w:szCs w:val="24"/>
          <w:lang w:eastAsia="en-US"/>
        </w:rPr>
        <w:t>самовывозом</w:t>
      </w:r>
      <w:proofErr w:type="spellEnd"/>
      <w:r w:rsidRPr="00D170E7">
        <w:rPr>
          <w:rFonts w:eastAsia="Calibri"/>
          <w:sz w:val="24"/>
          <w:szCs w:val="24"/>
          <w:lang w:eastAsia="en-US"/>
        </w:rPr>
        <w:t xml:space="preserve"> с автозаправочных станций/комплексов (АЗС/АЗК), которые должны находиться:</w:t>
      </w:r>
    </w:p>
    <w:p w:rsidR="008D7B1D" w:rsidRPr="00D170E7" w:rsidRDefault="008D7B1D" w:rsidP="008D7B1D">
      <w:pPr>
        <w:pStyle w:val="a3"/>
        <w:keepNext/>
        <w:keepLines/>
        <w:tabs>
          <w:tab w:val="left" w:pos="0"/>
          <w:tab w:val="left" w:pos="62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- не менее 5 (пяти) АЗС/АЗК на территории </w:t>
      </w:r>
      <w:proofErr w:type="gramStart"/>
      <w:r w:rsidRPr="00D170E7">
        <w:rPr>
          <w:sz w:val="24"/>
          <w:szCs w:val="24"/>
        </w:rPr>
        <w:t>г</w:t>
      </w:r>
      <w:proofErr w:type="gramEnd"/>
      <w:r w:rsidRPr="00D170E7">
        <w:rPr>
          <w:sz w:val="24"/>
          <w:szCs w:val="24"/>
        </w:rPr>
        <w:t>. Ярославля;</w:t>
      </w:r>
    </w:p>
    <w:p w:rsidR="008D7B1D" w:rsidRPr="00D170E7" w:rsidRDefault="008D7B1D" w:rsidP="008D7B1D">
      <w:pPr>
        <w:keepNext/>
        <w:keepLines/>
        <w:tabs>
          <w:tab w:val="left" w:pos="6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- не менее 1 (одной) АЗС/АЗК на территории Ярославской области.</w:t>
      </w:r>
    </w:p>
    <w:p w:rsidR="008D7B1D" w:rsidRPr="00D170E7" w:rsidRDefault="008D7B1D" w:rsidP="008D7B1D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D170E7">
        <w:rPr>
          <w:sz w:val="24"/>
          <w:szCs w:val="24"/>
        </w:rPr>
        <w:t xml:space="preserve">Начальная (максимальная) цена контракта – </w:t>
      </w:r>
      <w:r w:rsidR="00B81EAF">
        <w:rPr>
          <w:sz w:val="24"/>
          <w:szCs w:val="24"/>
        </w:rPr>
        <w:t xml:space="preserve">263120,00 </w:t>
      </w:r>
      <w:r w:rsidRPr="00D170E7">
        <w:rPr>
          <w:sz w:val="24"/>
          <w:szCs w:val="24"/>
        </w:rPr>
        <w:t>руб., в т</w:t>
      </w:r>
      <w:proofErr w:type="gramStart"/>
      <w:r w:rsidRPr="00D170E7">
        <w:rPr>
          <w:sz w:val="24"/>
          <w:szCs w:val="24"/>
        </w:rPr>
        <w:t>.ч</w:t>
      </w:r>
      <w:proofErr w:type="gramEnd"/>
      <w:r w:rsidRPr="00D170E7">
        <w:rPr>
          <w:sz w:val="24"/>
          <w:szCs w:val="24"/>
        </w:rPr>
        <w:t xml:space="preserve"> НДС.</w:t>
      </w:r>
    </w:p>
    <w:p w:rsidR="008D7B1D" w:rsidRPr="00D170E7" w:rsidRDefault="008D7B1D" w:rsidP="008D7B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Источник финансирования закупки – за счет средств бюджета.</w:t>
      </w:r>
    </w:p>
    <w:p w:rsidR="00A30173" w:rsidRPr="009A67C9" w:rsidRDefault="00A30173" w:rsidP="008D7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B81EAF">
        <w:rPr>
          <w:rFonts w:ascii="Times New Roman" w:hAnsi="Times New Roman" w:cs="Times New Roman"/>
          <w:sz w:val="24"/>
          <w:szCs w:val="24"/>
        </w:rPr>
        <w:t>30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B81EAF">
        <w:rPr>
          <w:rFonts w:ascii="Times New Roman" w:hAnsi="Times New Roman" w:cs="Times New Roman"/>
          <w:sz w:val="24"/>
          <w:szCs w:val="24"/>
        </w:rPr>
        <w:t>11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="00B81EAF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B81EAF">
        <w:rPr>
          <w:rFonts w:ascii="Times New Roman" w:hAnsi="Times New Roman" w:cs="Times New Roman"/>
          <w:sz w:val="24"/>
          <w:szCs w:val="24"/>
        </w:rPr>
        <w:t>12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B81EAF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</w:t>
      </w:r>
      <w:r w:rsidR="00B81EAF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>925, не допускается замена страны происхождения товаров</w:t>
      </w:r>
      <w:r w:rsidR="00B81EAF">
        <w:rPr>
          <w:sz w:val="24"/>
          <w:szCs w:val="24"/>
        </w:rPr>
        <w:t>, работ, услуг</w:t>
      </w:r>
      <w:r w:rsidRPr="004E412E">
        <w:rPr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</w:t>
      </w:r>
      <w:r w:rsidR="00B81EAF">
        <w:rPr>
          <w:sz w:val="24"/>
          <w:szCs w:val="24"/>
        </w:rPr>
        <w:t>, работы и услуги</w:t>
      </w:r>
      <w:r w:rsidRPr="004E412E">
        <w:rPr>
          <w:sz w:val="24"/>
          <w:szCs w:val="24"/>
        </w:rPr>
        <w:t>, при этом качество, технические и функциональные характеристики (потребительские свойства) таких товаров</w:t>
      </w:r>
      <w:r w:rsidR="00B81EAF">
        <w:rPr>
          <w:sz w:val="24"/>
          <w:szCs w:val="24"/>
        </w:rPr>
        <w:t>, работ, услуг</w:t>
      </w:r>
      <w:r w:rsidRPr="004E412E">
        <w:rPr>
          <w:sz w:val="24"/>
          <w:szCs w:val="24"/>
        </w:rPr>
        <w:t xml:space="preserve"> не должны уступать</w:t>
      </w:r>
      <w:proofErr w:type="gramEnd"/>
      <w:r w:rsidRPr="004E412E">
        <w:rPr>
          <w:sz w:val="24"/>
          <w:szCs w:val="24"/>
        </w:rPr>
        <w:t xml:space="preserve"> качеству и соответствующим техническим и функциональным характеристикам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</w:t>
      </w:r>
      <w:r w:rsidR="00B81EAF">
        <w:rPr>
          <w:sz w:val="24"/>
          <w:szCs w:val="24"/>
        </w:rPr>
        <w:t>, работы, услуги</w:t>
      </w:r>
      <w:r w:rsidRPr="004E412E">
        <w:rPr>
          <w:sz w:val="24"/>
          <w:szCs w:val="24"/>
        </w:rPr>
        <w:t xml:space="preserve">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B66B3"/>
    <w:rsid w:val="00801AD0"/>
    <w:rsid w:val="00876944"/>
    <w:rsid w:val="008D7B1D"/>
    <w:rsid w:val="0095180B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81EAF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CF32B3"/>
    <w:rsid w:val="00D10416"/>
    <w:rsid w:val="00D369B9"/>
    <w:rsid w:val="00D503AC"/>
    <w:rsid w:val="00DC73F7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2017-04-05T12:09:00Z</cp:lastPrinted>
  <dcterms:created xsi:type="dcterms:W3CDTF">2016-05-04T13:21:00Z</dcterms:created>
  <dcterms:modified xsi:type="dcterms:W3CDTF">2018-11-21T05:49:00Z</dcterms:modified>
</cp:coreProperties>
</file>