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d"/>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F170F7">
        <w:rPr>
          <w:b/>
          <w:sz w:val="24"/>
          <w:szCs w:val="24"/>
        </w:rPr>
        <w:t>приобретение видеос</w:t>
      </w:r>
      <w:r w:rsidR="00046C5C">
        <w:rPr>
          <w:b/>
          <w:sz w:val="24"/>
          <w:szCs w:val="24"/>
        </w:rPr>
        <w:t>тудии</w:t>
      </w:r>
      <w:r w:rsidR="00CB0C94">
        <w:rPr>
          <w:b/>
          <w:sz w:val="24"/>
          <w:szCs w:val="24"/>
        </w:rPr>
        <w:t xml:space="preserve">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E64AB6" w:rsidP="00252E68">
      <w:pPr>
        <w:pStyle w:val="1b"/>
        <w:rPr>
          <w:rFonts w:asciiTheme="minorHAnsi" w:eastAsiaTheme="minorEastAsia" w:hAnsiTheme="minorHAnsi" w:cstheme="minorBidi"/>
          <w:noProof/>
        </w:rPr>
      </w:pPr>
      <w:r w:rsidRPr="00E64AB6">
        <w:fldChar w:fldCharType="begin"/>
      </w:r>
      <w:r w:rsidR="00291D52" w:rsidRPr="00F35F83">
        <w:instrText xml:space="preserve"> TOC \o "1-3" \h \z \u </w:instrText>
      </w:r>
      <w:r w:rsidRPr="00E64AB6">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E64AB6" w:rsidP="00252E68">
      <w:pPr>
        <w:pStyle w:val="1b"/>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E64AB6"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E64AB6"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E64AB6"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E64AB6"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E64AB6"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E64AB6"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E64AB6"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E64AB6"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E64AB6"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E64AB6"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E64AB6"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E64AB6"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E64AB6"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E64AB6"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E64AB6"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E64AB6"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E64AB6"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E64AB6"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E64AB6"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E64AB6" w:rsidP="00252E68">
      <w:pPr>
        <w:pStyle w:val="1b"/>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E64AB6" w:rsidP="00252E68">
      <w:pPr>
        <w:pStyle w:val="1b"/>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FB42BA">
        <w:t>2</w:t>
      </w:r>
    </w:p>
    <w:p w:rsidR="00291D52" w:rsidRPr="00F35F83" w:rsidRDefault="00E64AB6" w:rsidP="00252E68">
      <w:pPr>
        <w:pStyle w:val="1b"/>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DB65DE">
        <w:t>2</w:t>
      </w:r>
      <w:r w:rsidR="005C7671">
        <w:t>7</w:t>
      </w:r>
    </w:p>
    <w:p w:rsidR="00291D52" w:rsidRPr="00F35F83" w:rsidRDefault="00E64AB6" w:rsidP="00252E68">
      <w:pPr>
        <w:pStyle w:val="1b"/>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FB42BA">
        <w:t>3</w:t>
      </w:r>
      <w:r w:rsidR="005C7671">
        <w:t>1</w:t>
      </w:r>
    </w:p>
    <w:p w:rsidR="00355BAA" w:rsidRDefault="00E64AB6"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00F170F7">
        <w:rPr>
          <w:b/>
          <w:sz w:val="24"/>
          <w:szCs w:val="24"/>
        </w:rPr>
        <w:t>1</w:t>
      </w:r>
      <w:r w:rsidR="00715A8D">
        <w:rPr>
          <w:b/>
          <w:sz w:val="24"/>
          <w:szCs w:val="24"/>
        </w:rPr>
        <w:t> 612 417</w:t>
      </w:r>
      <w:r w:rsidRPr="00D16CDD">
        <w:rPr>
          <w:b/>
          <w:sz w:val="24"/>
          <w:szCs w:val="24"/>
        </w:rPr>
        <w:t xml:space="preserve"> рублей </w:t>
      </w:r>
      <w:r w:rsidR="00715A8D">
        <w:rPr>
          <w:b/>
          <w:sz w:val="24"/>
          <w:szCs w:val="24"/>
        </w:rPr>
        <w:t>84</w:t>
      </w:r>
      <w:r w:rsidRPr="00D16CDD">
        <w:rPr>
          <w:b/>
          <w:sz w:val="24"/>
          <w:szCs w:val="24"/>
        </w:rPr>
        <w:t xml:space="preserve"> копеек </w:t>
      </w:r>
      <w:r w:rsidRPr="00D16CDD">
        <w:rPr>
          <w:sz w:val="24"/>
          <w:szCs w:val="24"/>
        </w:rPr>
        <w:t>(</w:t>
      </w:r>
      <w:r w:rsidR="00F170F7">
        <w:rPr>
          <w:sz w:val="24"/>
          <w:szCs w:val="24"/>
        </w:rPr>
        <w:t>один</w:t>
      </w:r>
      <w:r>
        <w:rPr>
          <w:sz w:val="24"/>
          <w:szCs w:val="24"/>
        </w:rPr>
        <w:t xml:space="preserve"> </w:t>
      </w:r>
      <w:r w:rsidR="00F170F7">
        <w:rPr>
          <w:sz w:val="24"/>
          <w:szCs w:val="24"/>
        </w:rPr>
        <w:t xml:space="preserve">миллион </w:t>
      </w:r>
      <w:r w:rsidR="00715A8D">
        <w:rPr>
          <w:sz w:val="24"/>
          <w:szCs w:val="24"/>
        </w:rPr>
        <w:t>шестьсот двенадцать</w:t>
      </w:r>
      <w:r>
        <w:rPr>
          <w:sz w:val="24"/>
          <w:szCs w:val="24"/>
        </w:rPr>
        <w:t xml:space="preserve"> тысяч </w:t>
      </w:r>
      <w:r w:rsidR="00715A8D">
        <w:rPr>
          <w:sz w:val="24"/>
          <w:szCs w:val="24"/>
        </w:rPr>
        <w:t>четыреста семнадцать</w:t>
      </w:r>
      <w:r>
        <w:rPr>
          <w:sz w:val="24"/>
          <w:szCs w:val="24"/>
        </w:rPr>
        <w:t xml:space="preserve"> рублей </w:t>
      </w:r>
      <w:r w:rsidR="00715A8D">
        <w:rPr>
          <w:sz w:val="24"/>
          <w:szCs w:val="24"/>
        </w:rPr>
        <w:t>84</w:t>
      </w:r>
      <w:r>
        <w:rPr>
          <w:sz w:val="24"/>
          <w:szCs w:val="24"/>
        </w:rPr>
        <w:t xml:space="preserve"> копе</w:t>
      </w:r>
      <w:r w:rsidR="00715A8D">
        <w:rPr>
          <w:sz w:val="24"/>
          <w:szCs w:val="24"/>
        </w:rPr>
        <w:t>йки</w:t>
      </w:r>
      <w:r>
        <w:rPr>
          <w:sz w:val="24"/>
          <w:szCs w:val="24"/>
        </w:rPr>
        <w:t>)</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170F7" w:rsidP="0048528B">
            <w:pPr>
              <w:autoSpaceDE w:val="0"/>
              <w:autoSpaceDN w:val="0"/>
              <w:adjustRightInd w:val="0"/>
              <w:jc w:val="both"/>
              <w:rPr>
                <w:b/>
                <w:i/>
                <w:color w:val="000000"/>
                <w:sz w:val="24"/>
                <w:szCs w:val="24"/>
              </w:rPr>
            </w:pPr>
            <w:r>
              <w:rPr>
                <w:b/>
                <w:i/>
                <w:sz w:val="24"/>
                <w:szCs w:val="24"/>
              </w:rPr>
              <w:t>Приобретение видеос</w:t>
            </w:r>
            <w:r w:rsidR="00715A8D">
              <w:rPr>
                <w:b/>
                <w:i/>
                <w:sz w:val="24"/>
                <w:szCs w:val="24"/>
              </w:rPr>
              <w:t>тудии</w:t>
            </w:r>
            <w:r w:rsidR="006A1BB3">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8608D0" w:rsidP="00715A8D">
                <w:pPr>
                  <w:widowControl w:val="0"/>
                  <w:suppressAutoHyphens/>
                  <w:autoSpaceDE w:val="0"/>
                  <w:autoSpaceDN w:val="0"/>
                  <w:adjustRightInd w:val="0"/>
                  <w:jc w:val="both"/>
                  <w:rPr>
                    <w:sz w:val="24"/>
                    <w:szCs w:val="24"/>
                  </w:rPr>
                </w:pPr>
                <w:r>
                  <w:rPr>
                    <w:sz w:val="24"/>
                    <w:szCs w:val="24"/>
                  </w:rPr>
                  <w:t>П</w:t>
                </w:r>
                <w:r w:rsidR="006A1BB3">
                  <w:rPr>
                    <w:sz w:val="24"/>
                    <w:szCs w:val="24"/>
                  </w:rPr>
                  <w:t>осле заключения контракта</w:t>
                </w:r>
                <w:r>
                  <w:rPr>
                    <w:sz w:val="24"/>
                    <w:szCs w:val="24"/>
                  </w:rPr>
                  <w:t xml:space="preserve"> до 2</w:t>
                </w:r>
                <w:r w:rsidR="00715A8D">
                  <w:rPr>
                    <w:sz w:val="24"/>
                    <w:szCs w:val="24"/>
                  </w:rPr>
                  <w:t>8</w:t>
                </w:r>
                <w:r>
                  <w:rPr>
                    <w:sz w:val="24"/>
                    <w:szCs w:val="24"/>
                  </w:rPr>
                  <w:t>.12.2018</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715A8D">
              <w:rPr>
                <w:sz w:val="24"/>
                <w:szCs w:val="24"/>
                <w:lang w:eastAsia="ar-SA"/>
              </w:rPr>
              <w:t>федерального</w:t>
            </w:r>
            <w:r w:rsidR="00F170F7">
              <w:rPr>
                <w:sz w:val="24"/>
                <w:szCs w:val="24"/>
                <w:lang w:eastAsia="ar-SA"/>
              </w:rPr>
              <w:t xml:space="preserve">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E64AB6"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715A8D">
                  <w:rPr>
                    <w:b/>
                    <w:sz w:val="24"/>
                    <w:szCs w:val="24"/>
                    <w:lang w:eastAsia="ar-SA"/>
                  </w:rPr>
                  <w:t>3583150</w:t>
                </w:r>
                <w:r w:rsidR="00F170F7">
                  <w:rPr>
                    <w:b/>
                    <w:sz w:val="24"/>
                    <w:szCs w:val="24"/>
                    <w:lang w:eastAsia="ar-SA"/>
                  </w:rPr>
                  <w:t xml:space="preserve"> </w:t>
                </w:r>
                <w:r w:rsidR="00B036E9" w:rsidRPr="00127A51">
                  <w:rPr>
                    <w:b/>
                    <w:sz w:val="24"/>
                    <w:szCs w:val="24"/>
                    <w:lang w:eastAsia="ar-SA"/>
                  </w:rPr>
                  <w:t>(</w:t>
                </w:r>
                <w:r w:rsidR="00715A8D">
                  <w:rPr>
                    <w:b/>
                    <w:sz w:val="24"/>
                    <w:szCs w:val="24"/>
                    <w:lang w:eastAsia="ar-SA"/>
                  </w:rPr>
                  <w:t>Три</w:t>
                </w:r>
                <w:r w:rsidR="00F170F7">
                  <w:rPr>
                    <w:b/>
                    <w:sz w:val="24"/>
                    <w:szCs w:val="24"/>
                    <w:lang w:eastAsia="ar-SA"/>
                  </w:rPr>
                  <w:t xml:space="preserve"> миллиона </w:t>
                </w:r>
                <w:r w:rsidR="00715A8D">
                  <w:rPr>
                    <w:b/>
                    <w:sz w:val="24"/>
                    <w:szCs w:val="24"/>
                    <w:lang w:eastAsia="ar-SA"/>
                  </w:rPr>
                  <w:t>пят</w:t>
                </w:r>
                <w:r w:rsidR="00F170F7">
                  <w:rPr>
                    <w:b/>
                    <w:sz w:val="24"/>
                    <w:szCs w:val="24"/>
                    <w:lang w:eastAsia="ar-SA"/>
                  </w:rPr>
                  <w:t xml:space="preserve">ьсот </w:t>
                </w:r>
                <w:r w:rsidR="00715A8D">
                  <w:rPr>
                    <w:b/>
                    <w:sz w:val="24"/>
                    <w:szCs w:val="24"/>
                    <w:lang w:eastAsia="ar-SA"/>
                  </w:rPr>
                  <w:t>восемьдесят три</w:t>
                </w:r>
                <w:r w:rsidR="00015478">
                  <w:rPr>
                    <w:b/>
                    <w:sz w:val="24"/>
                    <w:szCs w:val="24"/>
                    <w:lang w:eastAsia="ar-SA"/>
                  </w:rPr>
                  <w:t xml:space="preserve"> </w:t>
                </w:r>
                <w:r w:rsidR="002E315F">
                  <w:rPr>
                    <w:b/>
                    <w:sz w:val="24"/>
                    <w:szCs w:val="24"/>
                    <w:lang w:eastAsia="ar-SA"/>
                  </w:rPr>
                  <w:t>тысяч</w:t>
                </w:r>
                <w:r w:rsidR="00715A8D">
                  <w:rPr>
                    <w:b/>
                    <w:sz w:val="24"/>
                    <w:szCs w:val="24"/>
                    <w:lang w:eastAsia="ar-SA"/>
                  </w:rPr>
                  <w:t>и</w:t>
                </w:r>
                <w:r w:rsidR="00DF7986">
                  <w:rPr>
                    <w:b/>
                    <w:sz w:val="24"/>
                    <w:szCs w:val="24"/>
                    <w:lang w:eastAsia="ar-SA"/>
                  </w:rPr>
                  <w:t xml:space="preserve"> </w:t>
                </w:r>
                <w:r w:rsidR="00715A8D">
                  <w:rPr>
                    <w:b/>
                    <w:sz w:val="24"/>
                    <w:szCs w:val="24"/>
                    <w:lang w:eastAsia="ar-SA"/>
                  </w:rPr>
                  <w:t>сто</w:t>
                </w:r>
                <w:r w:rsidR="00F170F7">
                  <w:rPr>
                    <w:b/>
                    <w:sz w:val="24"/>
                    <w:szCs w:val="24"/>
                    <w:lang w:eastAsia="ar-SA"/>
                  </w:rPr>
                  <w:t xml:space="preserve"> </w:t>
                </w:r>
                <w:r w:rsidR="00715A8D">
                  <w:rPr>
                    <w:b/>
                    <w:sz w:val="24"/>
                    <w:szCs w:val="24"/>
                    <w:lang w:eastAsia="ar-SA"/>
                  </w:rPr>
                  <w:t>пятьдесят</w:t>
                </w:r>
                <w:r w:rsidR="00F170F7">
                  <w:rPr>
                    <w:b/>
                    <w:sz w:val="24"/>
                    <w:szCs w:val="24"/>
                    <w:lang w:eastAsia="ar-SA"/>
                  </w:rPr>
                  <w:t xml:space="preserve"> рубл</w:t>
                </w:r>
                <w:r w:rsidR="00715A8D">
                  <w:rPr>
                    <w:b/>
                    <w:sz w:val="24"/>
                    <w:szCs w:val="24"/>
                    <w:lang w:eastAsia="ar-SA"/>
                  </w:rPr>
                  <w:t>ей</w:t>
                </w:r>
                <w:r w:rsidR="00B036E9" w:rsidRPr="00127A51">
                  <w:rPr>
                    <w:b/>
                    <w:sz w:val="24"/>
                    <w:szCs w:val="24"/>
                    <w:lang w:eastAsia="ar-SA"/>
                  </w:rPr>
                  <w:t xml:space="preserve">) </w:t>
                </w:r>
                <w:r w:rsidR="00715A8D">
                  <w:rPr>
                    <w:b/>
                    <w:sz w:val="24"/>
                    <w:szCs w:val="24"/>
                    <w:lang w:eastAsia="ar-SA"/>
                  </w:rPr>
                  <w:t>76</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E64AB6" w:rsidP="00F170F7">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F170F7">
                  <w:rPr>
                    <w:sz w:val="24"/>
                    <w:szCs w:val="24"/>
                    <w:lang w:eastAsia="en-US"/>
                  </w:rPr>
                  <w:t>6</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D0363E">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D0363E">
              <w:rPr>
                <w:rFonts w:eastAsia="Arial"/>
                <w:sz w:val="24"/>
                <w:szCs w:val="24"/>
                <w:lang w:eastAsia="ar-SA"/>
              </w:rPr>
              <w:t>35831</w:t>
            </w:r>
            <w:r w:rsidRPr="00127A51">
              <w:rPr>
                <w:rFonts w:eastAsia="Arial"/>
                <w:sz w:val="24"/>
                <w:szCs w:val="24"/>
                <w:lang w:eastAsia="ar-SA"/>
              </w:rPr>
              <w:t xml:space="preserve"> (</w:t>
            </w:r>
            <w:r w:rsidR="00D0363E">
              <w:rPr>
                <w:rFonts w:eastAsia="Arial"/>
                <w:sz w:val="24"/>
                <w:szCs w:val="24"/>
                <w:lang w:eastAsia="ar-SA"/>
              </w:rPr>
              <w:t>Тридцать пять</w:t>
            </w:r>
            <w:r w:rsidR="00F170F7">
              <w:rPr>
                <w:rFonts w:eastAsia="Arial"/>
                <w:sz w:val="24"/>
                <w:szCs w:val="24"/>
                <w:lang w:eastAsia="ar-SA"/>
              </w:rPr>
              <w:t xml:space="preserve"> тысяч </w:t>
            </w:r>
            <w:r w:rsidR="00D0363E">
              <w:rPr>
                <w:rFonts w:eastAsia="Arial"/>
                <w:sz w:val="24"/>
                <w:szCs w:val="24"/>
                <w:lang w:eastAsia="ar-SA"/>
              </w:rPr>
              <w:t>восемьсот тридцать один</w:t>
            </w:r>
            <w:r w:rsidR="00B57084">
              <w:rPr>
                <w:rFonts w:eastAsia="Arial"/>
                <w:sz w:val="24"/>
                <w:szCs w:val="24"/>
                <w:lang w:eastAsia="ar-SA"/>
              </w:rPr>
              <w:t xml:space="preserve"> рубл</w:t>
            </w:r>
            <w:r w:rsidR="00D0363E">
              <w:rPr>
                <w:rFonts w:eastAsia="Arial"/>
                <w:sz w:val="24"/>
                <w:szCs w:val="24"/>
                <w:lang w:eastAsia="ar-SA"/>
              </w:rPr>
              <w:t>ь</w:t>
            </w:r>
            <w:r w:rsidRPr="00127A51">
              <w:rPr>
                <w:rFonts w:eastAsia="Arial"/>
                <w:sz w:val="24"/>
                <w:szCs w:val="24"/>
                <w:lang w:eastAsia="ar-SA"/>
              </w:rPr>
              <w:t xml:space="preserve">) </w:t>
            </w:r>
            <w:r w:rsidR="00D0363E">
              <w:rPr>
                <w:rFonts w:eastAsia="Arial"/>
                <w:sz w:val="24"/>
                <w:szCs w:val="24"/>
                <w:lang w:eastAsia="ar-SA"/>
              </w:rPr>
              <w:t>51</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E64AB6" w:rsidP="00D0363E">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2-06T00:00:00Z">
                  <w:dateFormat w:val="dd.MM.yyyy"/>
                  <w:lid w:val="ru-RU"/>
                  <w:storeMappedDataAs w:val="dateTime"/>
                  <w:calendar w:val="gregorian"/>
                </w:date>
              </w:sdtPr>
              <w:sdtContent>
                <w:r w:rsidR="00D0363E">
                  <w:rPr>
                    <w:sz w:val="24"/>
                    <w:szCs w:val="24"/>
                    <w:lang w:eastAsia="ar-SA"/>
                  </w:rPr>
                  <w:t>06.12.2018</w:t>
                </w:r>
              </w:sdtContent>
            </w:sdt>
            <w:r w:rsidR="008608D0">
              <w:rPr>
                <w:sz w:val="24"/>
                <w:szCs w:val="24"/>
                <w:lang w:eastAsia="ar-SA"/>
              </w:rPr>
              <w:t>в 1</w:t>
            </w:r>
            <w:r w:rsidR="00D0363E">
              <w:rPr>
                <w:sz w:val="24"/>
                <w:szCs w:val="24"/>
                <w:lang w:eastAsia="ar-SA"/>
              </w:rPr>
              <w:t>0</w:t>
            </w:r>
            <w:r w:rsidR="00B036E9" w:rsidRPr="009C701A">
              <w:rPr>
                <w:sz w:val="24"/>
                <w:szCs w:val="24"/>
                <w:lang w:eastAsia="ar-SA"/>
              </w:rPr>
              <w:t xml:space="preserve"> часов </w:t>
            </w:r>
            <w:r w:rsidR="00D0363E">
              <w:rPr>
                <w:sz w:val="24"/>
                <w:szCs w:val="24"/>
                <w:lang w:eastAsia="ar-SA"/>
              </w:rPr>
              <w:t>0</w:t>
            </w:r>
            <w:r w:rsidR="00B036E9" w:rsidRPr="009C701A">
              <w:rPr>
                <w:sz w:val="24"/>
                <w:szCs w:val="24"/>
                <w:lang w:eastAsia="ar-SA"/>
              </w:rPr>
              <w:t>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12-07T00:00:00Z">
                <w:dateFormat w:val="dd.MM.yyyy"/>
                <w:lid w:val="ru-RU"/>
                <w:storeMappedDataAs w:val="dateTime"/>
                <w:calendar w:val="gregorian"/>
              </w:date>
            </w:sdtPr>
            <w:sdtContent>
              <w:p w:rsidR="00B036E9" w:rsidRPr="009C701A" w:rsidRDefault="00D0363E" w:rsidP="00D0363E">
                <w:pPr>
                  <w:widowControl w:val="0"/>
                  <w:tabs>
                    <w:tab w:val="left" w:pos="0"/>
                  </w:tabs>
                  <w:suppressAutoHyphens/>
                  <w:autoSpaceDE w:val="0"/>
                  <w:rPr>
                    <w:sz w:val="24"/>
                    <w:szCs w:val="24"/>
                    <w:lang w:eastAsia="ar-SA"/>
                  </w:rPr>
                </w:pPr>
                <w:r>
                  <w:rPr>
                    <w:sz w:val="24"/>
                    <w:szCs w:val="24"/>
                    <w:lang w:eastAsia="ar-SA"/>
                  </w:rPr>
                  <w:t>07.12.2018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E64AB6" w:rsidP="008608D0">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2-12T00:00:00Z">
                  <w:dateFormat w:val="dd.MM.yyyy"/>
                  <w:lid w:val="ru-RU"/>
                  <w:storeMappedDataAs w:val="dateTime"/>
                  <w:calendar w:val="gregorian"/>
                </w:date>
              </w:sdtPr>
              <w:sdtContent>
                <w:r w:rsidR="00D0363E">
                  <w:rPr>
                    <w:sz w:val="24"/>
                    <w:szCs w:val="24"/>
                    <w:lang w:eastAsia="ar-SA"/>
                  </w:rPr>
                  <w:t>12.12.2018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a"/>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a"/>
              <w:jc w:val="both"/>
              <w:rPr>
                <w:sz w:val="24"/>
                <w:szCs w:val="24"/>
              </w:rPr>
            </w:pPr>
            <w:r>
              <w:rPr>
                <w:sz w:val="24"/>
                <w:szCs w:val="24"/>
              </w:rPr>
              <w:t xml:space="preserve">5 % от начальной (максимальной) цены контракта, что составляет </w:t>
            </w:r>
            <w:r w:rsidR="00D0363E">
              <w:rPr>
                <w:sz w:val="24"/>
                <w:szCs w:val="24"/>
              </w:rPr>
              <w:t>179157</w:t>
            </w:r>
            <w:r>
              <w:rPr>
                <w:sz w:val="24"/>
                <w:szCs w:val="24"/>
              </w:rPr>
              <w:t xml:space="preserve"> (</w:t>
            </w:r>
            <w:r w:rsidR="00152DD0">
              <w:rPr>
                <w:sz w:val="24"/>
                <w:szCs w:val="24"/>
              </w:rPr>
              <w:t xml:space="preserve">Сто </w:t>
            </w:r>
            <w:r w:rsidR="00D0363E">
              <w:rPr>
                <w:sz w:val="24"/>
                <w:szCs w:val="24"/>
              </w:rPr>
              <w:t>семьдесят девять</w:t>
            </w:r>
            <w:r w:rsidR="00152DD0">
              <w:rPr>
                <w:sz w:val="24"/>
                <w:szCs w:val="24"/>
              </w:rPr>
              <w:t xml:space="preserve"> тысяч </w:t>
            </w:r>
            <w:r w:rsidR="00D0363E">
              <w:rPr>
                <w:sz w:val="24"/>
                <w:szCs w:val="24"/>
              </w:rPr>
              <w:t>сто пятьдесят семь</w:t>
            </w:r>
            <w:r w:rsidR="00BA1BD3">
              <w:rPr>
                <w:sz w:val="24"/>
                <w:szCs w:val="24"/>
              </w:rPr>
              <w:t xml:space="preserve"> </w:t>
            </w:r>
            <w:r w:rsidR="00981DB7">
              <w:rPr>
                <w:sz w:val="24"/>
                <w:szCs w:val="24"/>
              </w:rPr>
              <w:t>рубл</w:t>
            </w:r>
            <w:r w:rsidR="00D0363E">
              <w:rPr>
                <w:sz w:val="24"/>
                <w:szCs w:val="24"/>
              </w:rPr>
              <w:t>ей</w:t>
            </w:r>
            <w:r>
              <w:rPr>
                <w:sz w:val="24"/>
                <w:szCs w:val="24"/>
              </w:rPr>
              <w:t xml:space="preserve">) </w:t>
            </w:r>
            <w:r w:rsidR="00D0363E">
              <w:rPr>
                <w:sz w:val="24"/>
                <w:szCs w:val="24"/>
              </w:rPr>
              <w:t>54</w:t>
            </w:r>
            <w:r>
              <w:rPr>
                <w:sz w:val="24"/>
                <w:szCs w:val="24"/>
              </w:rPr>
              <w:t xml:space="preserve"> коп.</w:t>
            </w:r>
          </w:p>
          <w:p w:rsidR="00B036E9" w:rsidRPr="00F35F83" w:rsidRDefault="00B036E9" w:rsidP="00981DB7">
            <w:pPr>
              <w:pStyle w:val="affa"/>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a"/>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a"/>
              <w:jc w:val="both"/>
              <w:rPr>
                <w:sz w:val="24"/>
                <w:szCs w:val="24"/>
              </w:rPr>
            </w:pPr>
            <w:r w:rsidRPr="00F35F83">
              <w:rPr>
                <w:sz w:val="24"/>
                <w:szCs w:val="24"/>
              </w:rPr>
              <w:t>Получатель</w:t>
            </w:r>
          </w:p>
          <w:p w:rsidR="00B036E9" w:rsidRPr="00F35F83" w:rsidRDefault="00B036E9" w:rsidP="00981DB7">
            <w:pPr>
              <w:pStyle w:val="affa"/>
              <w:jc w:val="both"/>
              <w:rPr>
                <w:sz w:val="24"/>
                <w:szCs w:val="24"/>
              </w:rPr>
            </w:pPr>
            <w:r>
              <w:rPr>
                <w:sz w:val="24"/>
                <w:szCs w:val="24"/>
              </w:rPr>
              <w:t>ГПОАУ ЯО Ярославский педагогический колледж</w:t>
            </w:r>
          </w:p>
          <w:p w:rsidR="00B036E9" w:rsidRPr="00F35F83" w:rsidRDefault="00B036E9" w:rsidP="00981DB7">
            <w:pPr>
              <w:pStyle w:val="affa"/>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a"/>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a"/>
              <w:rPr>
                <w:bCs/>
                <w:sz w:val="24"/>
                <w:szCs w:val="24"/>
              </w:rPr>
            </w:pPr>
            <w:r>
              <w:rPr>
                <w:bCs/>
                <w:sz w:val="24"/>
                <w:szCs w:val="24"/>
              </w:rPr>
              <w:t>Отделение Ярославль г. Ярославль</w:t>
            </w:r>
          </w:p>
          <w:p w:rsidR="00B036E9" w:rsidRPr="00F35F83" w:rsidRDefault="00B036E9" w:rsidP="00981DB7">
            <w:pPr>
              <w:pStyle w:val="affa"/>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a"/>
              <w:rPr>
                <w:sz w:val="24"/>
                <w:szCs w:val="24"/>
              </w:rPr>
            </w:pPr>
            <w:r w:rsidRPr="00F35F83">
              <w:rPr>
                <w:sz w:val="24"/>
                <w:szCs w:val="24"/>
              </w:rPr>
              <w:t xml:space="preserve">БИК </w:t>
            </w:r>
            <w:r>
              <w:rPr>
                <w:sz w:val="24"/>
                <w:szCs w:val="24"/>
              </w:rPr>
              <w:t>047888001</w:t>
            </w:r>
          </w:p>
          <w:p w:rsidR="00B036E9" w:rsidRPr="00F35F83" w:rsidRDefault="00B036E9" w:rsidP="00981DB7">
            <w:pPr>
              <w:pStyle w:val="affa"/>
              <w:rPr>
                <w:sz w:val="24"/>
                <w:szCs w:val="24"/>
              </w:rPr>
            </w:pPr>
            <w:r w:rsidRPr="00F35F83">
              <w:rPr>
                <w:sz w:val="24"/>
                <w:szCs w:val="24"/>
              </w:rPr>
              <w:t>КБК 00000000000000000</w:t>
            </w:r>
            <w:r>
              <w:rPr>
                <w:sz w:val="24"/>
                <w:szCs w:val="24"/>
              </w:rPr>
              <w:t>510</w:t>
            </w:r>
          </w:p>
          <w:p w:rsidR="00B036E9" w:rsidRPr="00F35F83" w:rsidRDefault="00B036E9" w:rsidP="00981DB7">
            <w:pPr>
              <w:pStyle w:val="affa"/>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152DD0">
              <w:rPr>
                <w:sz w:val="24"/>
                <w:szCs w:val="24"/>
              </w:rPr>
              <w:t>приобретению видео</w:t>
            </w:r>
            <w:r w:rsidR="00D0363E">
              <w:rPr>
                <w:sz w:val="24"/>
                <w:szCs w:val="24"/>
              </w:rPr>
              <w:t>студии</w:t>
            </w:r>
            <w:r w:rsidR="008A0DDC">
              <w:rPr>
                <w:sz w:val="24"/>
                <w:szCs w:val="24"/>
              </w:rPr>
              <w:t xml:space="preserve">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a"/>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a"/>
              <w:jc w:val="both"/>
              <w:rPr>
                <w:bCs/>
                <w:color w:val="000000"/>
                <w:sz w:val="24"/>
                <w:szCs w:val="24"/>
              </w:rPr>
            </w:pPr>
          </w:p>
          <w:p w:rsidR="00B036E9" w:rsidRPr="00F35F83" w:rsidRDefault="00B036E9" w:rsidP="00981DB7">
            <w:pPr>
              <w:pStyle w:val="affa"/>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152DD0" w:rsidP="002049D1">
            <w:pPr>
              <w:autoSpaceDE w:val="0"/>
              <w:autoSpaceDN w:val="0"/>
              <w:adjustRightInd w:val="0"/>
              <w:jc w:val="both"/>
              <w:rPr>
                <w:color w:val="FF0000"/>
                <w:sz w:val="24"/>
                <w:szCs w:val="24"/>
              </w:rPr>
            </w:pPr>
            <w:r>
              <w:rPr>
                <w:color w:val="000000"/>
                <w:sz w:val="24"/>
                <w:szCs w:val="24"/>
              </w:rPr>
              <w:t xml:space="preserve">Приобретение </w:t>
            </w:r>
            <w:r w:rsidR="002049D1">
              <w:rPr>
                <w:color w:val="000000"/>
                <w:sz w:val="24"/>
                <w:szCs w:val="24"/>
              </w:rPr>
              <w:t>видеостудии</w:t>
            </w:r>
            <w:r w:rsidR="00B23A61">
              <w:rPr>
                <w:color w:val="000000"/>
                <w:sz w:val="24"/>
                <w:szCs w:val="24"/>
              </w:rPr>
              <w:t xml:space="preserve"> 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D0363E" w:rsidP="00C7069A">
            <w:pPr>
              <w:rPr>
                <w:sz w:val="24"/>
                <w:szCs w:val="24"/>
              </w:rPr>
            </w:pPr>
            <w:r>
              <w:rPr>
                <w:sz w:val="24"/>
                <w:szCs w:val="24"/>
              </w:rPr>
              <w:t>3 583 150</w:t>
            </w:r>
            <w:r w:rsidR="00AA66A0" w:rsidRPr="00A303B6">
              <w:rPr>
                <w:sz w:val="24"/>
                <w:szCs w:val="24"/>
              </w:rPr>
              <w:t xml:space="preserve"> руб. </w:t>
            </w:r>
            <w:r>
              <w:rPr>
                <w:sz w:val="24"/>
                <w:szCs w:val="24"/>
              </w:rPr>
              <w:t>76</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152DD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Период поставки Товара: с даты заключения контракта</w:t>
            </w:r>
            <w:r w:rsidR="008608D0">
              <w:rPr>
                <w:sz w:val="24"/>
                <w:szCs w:val="24"/>
                <w:lang w:eastAsia="en-US"/>
              </w:rPr>
              <w:t xml:space="preserve"> до 2</w:t>
            </w:r>
            <w:r w:rsidR="002049D1">
              <w:rPr>
                <w:sz w:val="24"/>
                <w:szCs w:val="24"/>
                <w:lang w:eastAsia="en-US"/>
              </w:rPr>
              <w:t>8</w:t>
            </w:r>
            <w:r w:rsidR="008608D0">
              <w:rPr>
                <w:sz w:val="24"/>
                <w:szCs w:val="24"/>
                <w:lang w:eastAsia="en-US"/>
              </w:rPr>
              <w:t>.12.2018</w:t>
            </w:r>
            <w:r w:rsidRPr="00A303B6">
              <w:rPr>
                <w:sz w:val="24"/>
                <w:szCs w:val="24"/>
                <w:lang w:eastAsia="en-US"/>
              </w:rPr>
              <w:t xml:space="preserve">.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954"/>
        <w:gridCol w:w="1120"/>
        <w:gridCol w:w="1344"/>
        <w:gridCol w:w="1559"/>
      </w:tblGrid>
      <w:tr w:rsidR="00AA66A0" w:rsidRPr="00A6772D" w:rsidTr="00F83F57">
        <w:tc>
          <w:tcPr>
            <w:tcW w:w="709"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4678"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954"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1120"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1344"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559" w:type="dxa"/>
          </w:tcPr>
          <w:p w:rsidR="00AA66A0" w:rsidRPr="00A6772D" w:rsidRDefault="00AA66A0" w:rsidP="00DE6959">
            <w:pPr>
              <w:tabs>
                <w:tab w:val="left" w:pos="3443"/>
              </w:tabs>
              <w:ind w:right="520"/>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B71E27">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A40AFC" w:rsidRPr="00B85649" w:rsidRDefault="00152DD0" w:rsidP="00A40AFC">
            <w:pPr>
              <w:tabs>
                <w:tab w:val="left" w:pos="3443"/>
              </w:tabs>
              <w:rPr>
                <w:b/>
                <w:smallCaps/>
                <w:u w:val="single"/>
              </w:rPr>
            </w:pPr>
            <w:r w:rsidRPr="00B85649">
              <w:rPr>
                <w:b/>
                <w:smallCaps/>
                <w:u w:val="single"/>
              </w:rPr>
              <w:t>Видео</w:t>
            </w:r>
            <w:r w:rsidR="00563B87" w:rsidRPr="00B85649">
              <w:rPr>
                <w:b/>
                <w:smallCaps/>
                <w:u w:val="single"/>
              </w:rPr>
              <w:t>студия</w:t>
            </w:r>
          </w:p>
          <w:tbl>
            <w:tblPr>
              <w:tblW w:w="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4"/>
              <w:gridCol w:w="567"/>
              <w:gridCol w:w="850"/>
            </w:tblGrid>
            <w:tr w:rsidR="007B2926" w:rsidRPr="00B04D15" w:rsidTr="007B2926">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7B2926" w:rsidRPr="00B04D15" w:rsidRDefault="007B2926" w:rsidP="007B2926">
                  <w:r w:rsidRPr="00B04D15">
                    <w:t>Система вещания. Устройство оборудовано не менее чем 4 интерфейсами.</w:t>
                  </w:r>
                </w:p>
                <w:p w:rsidR="007B2926" w:rsidRPr="00B04D15" w:rsidRDefault="007B2926" w:rsidP="007B2926">
                  <w:r w:rsidRPr="00B04D15">
                    <w:t>Устройство поставляется с панелью управления. Габариты устройства не менее 11х23х20 см. Хранилище устройства: не менее 2 жестких дисков ПО не менее чем 743 Гб. На корпусе устройства установлен дисплей диагональю не менее 6.8" ". Масса устройства не менее 4 кг.</w:t>
                  </w:r>
                </w:p>
              </w:tc>
              <w:tc>
                <w:tcPr>
                  <w:tcW w:w="567" w:type="dxa"/>
                  <w:tcBorders>
                    <w:top w:val="single" w:sz="4" w:space="0" w:color="auto"/>
                    <w:left w:val="single" w:sz="4" w:space="0" w:color="auto"/>
                    <w:bottom w:val="single" w:sz="4" w:space="0" w:color="auto"/>
                    <w:right w:val="single" w:sz="4" w:space="0" w:color="auto"/>
                  </w:tcBorders>
                </w:tcPr>
                <w:p w:rsidR="007B2926" w:rsidRPr="00B04D15" w:rsidRDefault="007B2926" w:rsidP="007B2926">
                  <w:pPr>
                    <w:jc w:val="center"/>
                    <w:rPr>
                      <w:b/>
                    </w:rPr>
                  </w:pPr>
                  <w:r w:rsidRPr="00B04D15">
                    <w:rPr>
                      <w:b/>
                    </w:rPr>
                    <w:t>Шт</w:t>
                  </w:r>
                </w:p>
              </w:tc>
              <w:tc>
                <w:tcPr>
                  <w:tcW w:w="850" w:type="dxa"/>
                  <w:tcBorders>
                    <w:top w:val="single" w:sz="4" w:space="0" w:color="auto"/>
                    <w:left w:val="single" w:sz="4" w:space="0" w:color="auto"/>
                    <w:bottom w:val="single" w:sz="4" w:space="0" w:color="auto"/>
                    <w:right w:val="single" w:sz="4" w:space="0" w:color="auto"/>
                  </w:tcBorders>
                </w:tcPr>
                <w:p w:rsidR="007B2926" w:rsidRPr="00B04D15" w:rsidRDefault="007B2926" w:rsidP="007B2926">
                  <w:pPr>
                    <w:jc w:val="center"/>
                    <w:rPr>
                      <w:b/>
                    </w:rPr>
                  </w:pPr>
                  <w:r w:rsidRPr="00B04D15">
                    <w:rPr>
                      <w:b/>
                    </w:rPr>
                    <w:t>1</w:t>
                  </w:r>
                </w:p>
              </w:tc>
            </w:tr>
            <w:tr w:rsidR="007B2926" w:rsidRPr="00B04D15" w:rsidTr="007B2926">
              <w:tblPrEx>
                <w:tblLook w:val="0000"/>
              </w:tblPrEx>
              <w:trPr>
                <w:trHeight w:val="528"/>
              </w:trPr>
              <w:tc>
                <w:tcPr>
                  <w:tcW w:w="2864" w:type="dxa"/>
                </w:tcPr>
                <w:p w:rsidR="007B2926" w:rsidRPr="00B04D15" w:rsidRDefault="007B2926" w:rsidP="006B1852">
                  <w:r w:rsidRPr="00B04D15">
                    <w:t>Камера. Масса устройства не менее 879 г (только корпус). Снаряженная масса не менее 1359. Габариты устройства не менее 119х102х272 мм. Потребляемая мощность не менее 5.4 Вт. Время работы в режиме записи не менее 117 мин. Время работы в режиме воспроизведения не менее 198 мин. Объектив не сменный. Оптический зум не менее 11.4х. Фокусное расстояние не менее f=9.2-111.4 мм. Диаметр фильтра не менее 61 мм. Вход звука не менее 2. Камера оборудована выходом с видеоинтерфейсом. Видоискатель не менее 0.9 см</w:t>
                  </w:r>
                  <w:r w:rsidR="006B1852" w:rsidRPr="00B04D15">
                    <w:t xml:space="preserve">. ЖК-дисплей не менее 8.7 </w:t>
                  </w:r>
                  <w:r w:rsidRPr="00B04D15">
                    <w:t xml:space="preserve">см. Камера совместима с MS ProDuo и оборудована не менее чем 2 и не более чем 3 слотами для </w:t>
                  </w:r>
                  <w:r w:rsidRPr="00B04D15">
                    <w:rPr>
                      <w:lang w:val="en-US"/>
                    </w:rPr>
                    <w:t>SD</w:t>
                  </w:r>
                  <w:r w:rsidRPr="00B04D15">
                    <w:t>/</w:t>
                  </w:r>
                  <w:r w:rsidRPr="00B04D15">
                    <w:rPr>
                      <w:lang w:val="en-US"/>
                    </w:rPr>
                    <w:t>SDHC</w:t>
                  </w:r>
                  <w:r w:rsidRPr="00B04D15">
                    <w:t>/</w:t>
                  </w:r>
                  <w:r w:rsidRPr="00B04D15">
                    <w:rPr>
                      <w:lang w:val="en-US"/>
                    </w:rPr>
                    <w:t>SDXC</w:t>
                  </w:r>
                  <w:r w:rsidRPr="00B04D15">
                    <w:t xml:space="preserve">. </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2</w:t>
                  </w:r>
                </w:p>
              </w:tc>
            </w:tr>
            <w:tr w:rsidR="007B2926" w:rsidRPr="00B04D15" w:rsidTr="007B2926">
              <w:tblPrEx>
                <w:tblLook w:val="0000"/>
              </w:tblPrEx>
              <w:trPr>
                <w:trHeight w:val="480"/>
              </w:trPr>
              <w:tc>
                <w:tcPr>
                  <w:tcW w:w="2864" w:type="dxa"/>
                </w:tcPr>
                <w:p w:rsidR="007B2926" w:rsidRPr="00B04D15" w:rsidRDefault="007B2926" w:rsidP="006B1852">
                  <w:r w:rsidRPr="00B04D15">
                    <w:t>Многофункциональная опора для видеокамеры. Максимальная нагрузка не менее 4.8 кг. Головка в комплекте со сменной площадкой. Минимальная рабочая высота не менее 66, максимальная рабочая высота не менее 153 см. Устройство оборудовано уровнем. Секций в треноге не менее 3. Вес устройства не менее 2.9 кг.</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2</w:t>
                  </w:r>
                </w:p>
              </w:tc>
            </w:tr>
            <w:tr w:rsidR="007B2926" w:rsidRPr="00B04D15" w:rsidTr="007B2926">
              <w:tblPrEx>
                <w:tblLook w:val="0000"/>
              </w:tblPrEx>
              <w:trPr>
                <w:trHeight w:val="480"/>
              </w:trPr>
              <w:tc>
                <w:tcPr>
                  <w:tcW w:w="2864" w:type="dxa"/>
                </w:tcPr>
                <w:p w:rsidR="007B2926" w:rsidRPr="00B04D15" w:rsidRDefault="007B2926" w:rsidP="000B66BD">
                  <w:r w:rsidRPr="00B04D15">
                    <w:t>Монитор жидкокристаллический широкофо</w:t>
                  </w:r>
                  <w:r w:rsidR="006B1852" w:rsidRPr="00B04D15">
                    <w:t xml:space="preserve">рматный. Диагональ не менее 26". </w:t>
                  </w:r>
                  <w:r w:rsidRPr="00B04D15">
                    <w:t xml:space="preserve">Разрешение не менее 2526х1417. Максимальная частота обновления кадров не менее 85 Гц. Яркость не менее 346 кд/м² . Контрастность не менее 999:1. Время отклика не менее 7 мс. Максимальное количество цветов не менее 16 млн. Устройство оборудовано входами HDMI в количестве не менее 2 шт, DP v1.2 и </w:t>
                  </w:r>
                  <w:r w:rsidRPr="00B04D15">
                    <w:rPr>
                      <w:lang w:val="en-US"/>
                    </w:rPr>
                    <w:t>miniDP</w:t>
                  </w:r>
                  <w:r w:rsidRPr="00B04D15">
                    <w:t>. Устройство оборудовано встроенным блоком питания. Потребляемая мощность не менее 86 Вт. Размеры устройства не менее 612х408х204 мм. Вес не менее 7.3 кг.</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2</w:t>
                  </w:r>
                </w:p>
              </w:tc>
            </w:tr>
            <w:tr w:rsidR="007B2926" w:rsidRPr="00B04D15" w:rsidTr="007B2926">
              <w:tblPrEx>
                <w:tblLook w:val="0000"/>
              </w:tblPrEx>
              <w:trPr>
                <w:trHeight w:val="540"/>
              </w:trPr>
              <w:tc>
                <w:tcPr>
                  <w:tcW w:w="2864" w:type="dxa"/>
                </w:tcPr>
                <w:p w:rsidR="007B2926" w:rsidRPr="00B04D15" w:rsidRDefault="007B2926" w:rsidP="007B2926">
                  <w:r w:rsidRPr="00B04D15">
                    <w:t>Комплект автономного света. К</w:t>
                  </w:r>
                  <w:r w:rsidR="000B66BD" w:rsidRPr="00B04D15">
                    <w:t xml:space="preserve">омплект состоит из не менее 2 </w:t>
                  </w:r>
                  <w:r w:rsidRPr="00B04D15">
                    <w:t>компактных универсальных светодиодных светильников, эквивалентным по мощности галогенным светильникам мощностью не менее 298 Вт, не менее 2 светодиодных прожекторов с линзой Френеля, эквивалентным по мощности галогенным светильникам мощностью не менее 128, не менее 2 и не более 3 компактных светодиодных светильников, эквивалентных по мощности галогенным светильникам не менее 789 Вт. Так же, в комплекте не менее 2 зонтов.</w:t>
                  </w:r>
                </w:p>
                <w:p w:rsidR="007B2926" w:rsidRPr="00B04D15" w:rsidRDefault="007B2926" w:rsidP="000B66BD">
                  <w:r w:rsidRPr="00B04D15">
                    <w:t>Комплект состоит из не менее 3 видов светильников, комплекта отражателей, зонтов, адаптеров, аккумуляторов, 2 вида комплектов питания, штативов, транспортировочных кофров.  Масса комплекта не менее 17.9 кг.</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504"/>
              </w:trPr>
              <w:tc>
                <w:tcPr>
                  <w:tcW w:w="2864" w:type="dxa"/>
                </w:tcPr>
                <w:p w:rsidR="007B2926" w:rsidRPr="00B04D15" w:rsidRDefault="007B2926" w:rsidP="000B66BD">
                  <w:r w:rsidRPr="00B04D15">
                    <w:t xml:space="preserve">Микшер не менее 11 </w:t>
                  </w:r>
                  <w:r w:rsidR="000B66BD" w:rsidRPr="00B04D15">
                    <w:t xml:space="preserve">каналов. Не менее 6 </w:t>
                  </w:r>
                  <w:r w:rsidRPr="00B04D15">
                    <w:t xml:space="preserve">микрофонных входов, не менее 12 линейных входов. Не менее 1 стереошин. Не менее 1 шин. Устройство оборудовано фантомным питанием и симметричными выходами. Устройство оборудовано процессором эффектов. Габариты устройства не менее 310х90х295 мм. Масса не менее 2.9 кг. </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540"/>
              </w:trPr>
              <w:tc>
                <w:tcPr>
                  <w:tcW w:w="2864" w:type="dxa"/>
                </w:tcPr>
                <w:p w:rsidR="007B2926" w:rsidRPr="00B04D15" w:rsidRDefault="007B2926" w:rsidP="000B66BD">
                  <w:r w:rsidRPr="00B04D15">
                    <w:t>Кабель коаксиальный цифровой для видеосигналов аналоговых и цифровых. Количество проводников не менее 1 шт, се</w:t>
                  </w:r>
                  <w:r w:rsidR="000B66BD" w:rsidRPr="00B04D15">
                    <w:t>чение проводника не менее 1 мм</w:t>
                  </w:r>
                  <w:r w:rsidRPr="00B04D15">
                    <w:t xml:space="preserve">. Наружный размер кабеля не менее 6.9 мм. Импеданс не менее 74 Ом. </w:t>
                  </w:r>
                </w:p>
              </w:tc>
              <w:tc>
                <w:tcPr>
                  <w:tcW w:w="567" w:type="dxa"/>
                </w:tcPr>
                <w:p w:rsidR="007B2926" w:rsidRPr="00B04D15" w:rsidRDefault="007B2926" w:rsidP="007B2926">
                  <w:pPr>
                    <w:jc w:val="center"/>
                    <w:rPr>
                      <w:b/>
                    </w:rPr>
                  </w:pPr>
                  <w:r w:rsidRPr="00B04D15">
                    <w:rPr>
                      <w:b/>
                    </w:rPr>
                    <w:t>м</w:t>
                  </w:r>
                </w:p>
              </w:tc>
              <w:tc>
                <w:tcPr>
                  <w:tcW w:w="850" w:type="dxa"/>
                </w:tcPr>
                <w:p w:rsidR="007B2926" w:rsidRPr="00B04D15" w:rsidRDefault="007B2926" w:rsidP="007B2926">
                  <w:pPr>
                    <w:jc w:val="center"/>
                    <w:rPr>
                      <w:b/>
                    </w:rPr>
                  </w:pPr>
                  <w:r w:rsidRPr="00B04D15">
                    <w:rPr>
                      <w:b/>
                    </w:rPr>
                    <w:t>50</w:t>
                  </w:r>
                </w:p>
              </w:tc>
            </w:tr>
            <w:tr w:rsidR="007B2926" w:rsidRPr="00B04D15" w:rsidTr="007B2926">
              <w:tblPrEx>
                <w:tblLook w:val="0000"/>
              </w:tblPrEx>
              <w:trPr>
                <w:trHeight w:val="456"/>
              </w:trPr>
              <w:tc>
                <w:tcPr>
                  <w:tcW w:w="2864" w:type="dxa"/>
                </w:tcPr>
                <w:p w:rsidR="007B2926" w:rsidRPr="00B04D15" w:rsidRDefault="007B2926" w:rsidP="000B66BD">
                  <w:r w:rsidRPr="00B04D15">
                    <w:t xml:space="preserve">Разъёмы bnc. Полная совместимость с п.7. Срок службы не менее 999. </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4</w:t>
                  </w:r>
                </w:p>
              </w:tc>
            </w:tr>
            <w:tr w:rsidR="007B2926" w:rsidRPr="00B04D15" w:rsidTr="007B2926">
              <w:tblPrEx>
                <w:tblLook w:val="0000"/>
              </w:tblPrEx>
              <w:trPr>
                <w:trHeight w:val="504"/>
              </w:trPr>
              <w:tc>
                <w:tcPr>
                  <w:tcW w:w="2864" w:type="dxa"/>
                </w:tcPr>
                <w:p w:rsidR="007B2926" w:rsidRPr="00B04D15" w:rsidRDefault="007B2926" w:rsidP="000B66BD">
                  <w:r w:rsidRPr="00B04D15">
                    <w:t>Кабель микрофонный медный многожильный. Внешний диаметр не менее 5.9 мм. Экран медный. Сечение сигнальных жил не менее 0.29 мм². Жил в</w:t>
                  </w:r>
                  <w:r w:rsidR="000B66BD" w:rsidRPr="00B04D15">
                    <w:t xml:space="preserve"> сигнальном проводе не менее 59.</w:t>
                  </w:r>
                  <w:r w:rsidRPr="00B04D15">
                    <w:t xml:space="preserve"> </w:t>
                  </w:r>
                </w:p>
              </w:tc>
              <w:tc>
                <w:tcPr>
                  <w:tcW w:w="567" w:type="dxa"/>
                </w:tcPr>
                <w:p w:rsidR="007B2926" w:rsidRPr="00B04D15" w:rsidRDefault="007B2926" w:rsidP="007B2926">
                  <w:pPr>
                    <w:jc w:val="center"/>
                    <w:rPr>
                      <w:b/>
                    </w:rPr>
                  </w:pPr>
                  <w:r w:rsidRPr="00B04D15">
                    <w:rPr>
                      <w:b/>
                    </w:rPr>
                    <w:t>м</w:t>
                  </w:r>
                </w:p>
              </w:tc>
              <w:tc>
                <w:tcPr>
                  <w:tcW w:w="850" w:type="dxa"/>
                </w:tcPr>
                <w:p w:rsidR="007B2926" w:rsidRPr="00B04D15" w:rsidRDefault="007B2926" w:rsidP="007B2926">
                  <w:pPr>
                    <w:jc w:val="center"/>
                    <w:rPr>
                      <w:b/>
                    </w:rPr>
                  </w:pPr>
                  <w:r w:rsidRPr="00B04D15">
                    <w:rPr>
                      <w:b/>
                    </w:rPr>
                    <w:t>50</w:t>
                  </w:r>
                </w:p>
              </w:tc>
            </w:tr>
            <w:tr w:rsidR="007B2926" w:rsidRPr="00B04D15" w:rsidTr="007B2926">
              <w:tblPrEx>
                <w:tblLook w:val="0000"/>
              </w:tblPrEx>
              <w:trPr>
                <w:trHeight w:val="401"/>
              </w:trPr>
              <w:tc>
                <w:tcPr>
                  <w:tcW w:w="2864" w:type="dxa"/>
                </w:tcPr>
                <w:p w:rsidR="007B2926" w:rsidRPr="00B04D15" w:rsidRDefault="007B2926" w:rsidP="007B2926">
                  <w:r w:rsidRPr="00B04D15">
                    <w:t>Разъём XLR кабельный гнездо с посеребренными контактами. Полная совместимость с п.9</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5</w:t>
                  </w:r>
                </w:p>
              </w:tc>
            </w:tr>
            <w:tr w:rsidR="007B2926" w:rsidRPr="00B04D15" w:rsidTr="007B2926">
              <w:tblPrEx>
                <w:tblLook w:val="0000"/>
              </w:tblPrEx>
              <w:trPr>
                <w:trHeight w:val="420"/>
              </w:trPr>
              <w:tc>
                <w:tcPr>
                  <w:tcW w:w="2864" w:type="dxa"/>
                </w:tcPr>
                <w:p w:rsidR="007B2926" w:rsidRPr="00B04D15" w:rsidRDefault="007B2926" w:rsidP="007B2926">
                  <w:r w:rsidRPr="00B04D15">
                    <w:t>Разъём XLR кабельный штекер с посеребренными контактами. Полная совместимость с п.9</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5</w:t>
                  </w:r>
                </w:p>
              </w:tc>
            </w:tr>
            <w:tr w:rsidR="007B2926" w:rsidRPr="00B04D15" w:rsidTr="007B2926">
              <w:tblPrEx>
                <w:tblLook w:val="0000"/>
              </w:tblPrEx>
              <w:trPr>
                <w:trHeight w:val="408"/>
              </w:trPr>
              <w:tc>
                <w:tcPr>
                  <w:tcW w:w="2864" w:type="dxa"/>
                </w:tcPr>
                <w:p w:rsidR="007B2926" w:rsidRPr="00B04D15" w:rsidRDefault="007B2926" w:rsidP="007B2926">
                  <w:r w:rsidRPr="00B04D15">
                    <w:t>Кабель DVI-D HDMI 1.5 м</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504"/>
              </w:trPr>
              <w:tc>
                <w:tcPr>
                  <w:tcW w:w="2864" w:type="dxa"/>
                </w:tcPr>
                <w:p w:rsidR="007B2926" w:rsidRPr="00B04D15" w:rsidRDefault="007B2926" w:rsidP="007B2926">
                  <w:r w:rsidRPr="00B04D15">
                    <w:t>Кабель HDMI-HDMI 1.8 м</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468"/>
              </w:trPr>
              <w:tc>
                <w:tcPr>
                  <w:tcW w:w="2864" w:type="dxa"/>
                </w:tcPr>
                <w:p w:rsidR="007B2926" w:rsidRPr="00B04D15" w:rsidRDefault="007B2926" w:rsidP="007B2926">
                  <w:r w:rsidRPr="00B04D15">
                    <w:t>Разъём моно джек. Jack 6.3 mono. полная совместимость с п.9.</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6</w:t>
                  </w:r>
                </w:p>
              </w:tc>
            </w:tr>
            <w:tr w:rsidR="007B2926" w:rsidRPr="00B04D15" w:rsidTr="007B2926">
              <w:tblPrEx>
                <w:tblLook w:val="0000"/>
              </w:tblPrEx>
              <w:trPr>
                <w:trHeight w:val="516"/>
              </w:trPr>
              <w:tc>
                <w:tcPr>
                  <w:tcW w:w="2864" w:type="dxa"/>
                </w:tcPr>
                <w:p w:rsidR="007B2926" w:rsidRPr="00B04D15" w:rsidRDefault="007B2926" w:rsidP="000B66BD">
                  <w:r w:rsidRPr="00B04D15">
                    <w:t>Свитч. Устройство можно установить в стойку. Объем флеш памяти не менее 1.9 Мб. Количество портов не менее 5 10/100/1000 мбит\сек. Внутренняя пропускная способность не менее 9.9 Гб/с. Габариты устройства не менее 140х27х84 мм и не более. Вес не менее 310 г</w:t>
                  </w:r>
                  <w:r w:rsidR="000B66BD" w:rsidRPr="00B04D15">
                    <w:t>.</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540"/>
              </w:trPr>
              <w:tc>
                <w:tcPr>
                  <w:tcW w:w="2864" w:type="dxa"/>
                </w:tcPr>
                <w:p w:rsidR="007B2926" w:rsidRPr="00B04D15" w:rsidRDefault="007B2926" w:rsidP="007B2926">
                  <w:r w:rsidRPr="00B04D15">
                    <w:t xml:space="preserve">Разъём </w:t>
                  </w:r>
                  <w:r w:rsidRPr="00B04D15">
                    <w:rPr>
                      <w:lang w:val="en-US"/>
                    </w:rPr>
                    <w:t>RJ</w:t>
                  </w:r>
                  <w:r w:rsidRPr="00B04D15">
                    <w:t>-45 для кабеля 7 категории.</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10</w:t>
                  </w:r>
                </w:p>
              </w:tc>
            </w:tr>
            <w:tr w:rsidR="007B2926" w:rsidRPr="00B04D15" w:rsidTr="007B2926">
              <w:tblPrEx>
                <w:tblLook w:val="0000"/>
              </w:tblPrEx>
              <w:trPr>
                <w:trHeight w:val="456"/>
              </w:trPr>
              <w:tc>
                <w:tcPr>
                  <w:tcW w:w="2864" w:type="dxa"/>
                </w:tcPr>
                <w:p w:rsidR="007B2926" w:rsidRPr="00B04D15" w:rsidRDefault="007B2926" w:rsidP="007B2926">
                  <w:r w:rsidRPr="00B04D15">
                    <w:t>Кабель витая пара 7 категория экранированный.</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305</w:t>
                  </w:r>
                </w:p>
              </w:tc>
            </w:tr>
            <w:tr w:rsidR="007B2926" w:rsidRPr="00B04D15" w:rsidTr="007B2926">
              <w:tblPrEx>
                <w:tblLook w:val="0000"/>
              </w:tblPrEx>
              <w:trPr>
                <w:trHeight w:val="528"/>
              </w:trPr>
              <w:tc>
                <w:tcPr>
                  <w:tcW w:w="2864" w:type="dxa"/>
                </w:tcPr>
                <w:p w:rsidR="007B2926" w:rsidRPr="00B04D15" w:rsidRDefault="007B2926" w:rsidP="000B66BD">
                  <w:r w:rsidRPr="00B04D15">
                    <w:t>ИБП имеет выходную мощность не менее 996 ВА. Выходная мощность не менее 547 Вт. Минимальное вхо</w:t>
                  </w:r>
                  <w:r w:rsidR="000B66BD" w:rsidRPr="00B04D15">
                    <w:t>дное напряжение не менее 215 В</w:t>
                  </w:r>
                  <w:r w:rsidRPr="00B04D15">
                    <w:t>. Максимальное входное напряжение не менее 234 В. Количество выходных разъёмов питания общих не менее 8 шт. Количество выходных разъёмов питания (ups) не менее 8. Время зарядки не менее 7 ч 58 мин. Возможность замены батарей. Горячая замена. Емкость батарей не менее 8.9 Ач. Напряжение не менее 12 В. Уровень шума не менее 39 дБ и не более 41 дБ. Длина не менее 230 мм и не более 234 мм. Ширина не менее 282 мм и не более 289 мм. Высота не менее 101 мм и не более 105 мм. Вес не менее 4.3 кг и не более 4.6 кг.</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564"/>
              </w:trPr>
              <w:tc>
                <w:tcPr>
                  <w:tcW w:w="2864" w:type="dxa"/>
                </w:tcPr>
                <w:p w:rsidR="007B2926" w:rsidRPr="00B04D15" w:rsidRDefault="007B2926" w:rsidP="007B2926">
                  <w:r w:rsidRPr="00B04D15">
                    <w:t>ИБП имеет выходную мощность не менее 295 ВА и не более 305 ВА. Выходная мощность не менее 160 Вт и не более 166 Вт. Минимальное входное напряжение не менее 162 В и не более 166 В. Максимальное входное напряжение не менее 283 В и не более 289 В. Количество выходных разъёмов питания не менее 3 и не более 4. Количество выходных разъёмов питания (</w:t>
                  </w:r>
                  <w:r w:rsidRPr="00B04D15">
                    <w:rPr>
                      <w:lang w:val="en-US"/>
                    </w:rPr>
                    <w:t>ups</w:t>
                  </w:r>
                  <w:r w:rsidRPr="00B04D15">
                    <w:t>) не менее 2 и не более 3. Время зарядки не менее 3 ч 57 мин и не более 4 ч 02 мин. Возможность замены батарей, возможность горячей замены батарей. Уровень шума не менее 39 дБ и не более 41 дБ. Длина не менее 67 мм и не более 69 мм. Ширина не менее 99 мм и не более 101 мм. Высота не менее 313 мм и не более 318 мм.</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2</w:t>
                  </w:r>
                </w:p>
              </w:tc>
            </w:tr>
            <w:tr w:rsidR="007B2926" w:rsidRPr="00B04D15" w:rsidTr="007B2926">
              <w:tblPrEx>
                <w:tblLook w:val="0000"/>
              </w:tblPrEx>
              <w:trPr>
                <w:trHeight w:val="468"/>
              </w:trPr>
              <w:tc>
                <w:tcPr>
                  <w:tcW w:w="2864" w:type="dxa"/>
                </w:tcPr>
                <w:p w:rsidR="007B2926" w:rsidRPr="00B04D15" w:rsidRDefault="007B2926" w:rsidP="007B2926">
                  <w:r w:rsidRPr="00B04D15">
                    <w:t>Контрольные наушники. Вес не менее 503 г и не более 524 г. Наушники закрытого типа динамические. Частотный диапазон нижней границы от не менее 9 до не более 11 Гц, частотный диапазон верхней границы от не менее 19700 Гц до не более 20100 Гц. Сопротивление не менее 62 Ом и не более 64 Ом. Длина шнура не менее 2.9 м и не более 3.1 м.</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504"/>
              </w:trPr>
              <w:tc>
                <w:tcPr>
                  <w:tcW w:w="2864" w:type="dxa"/>
                </w:tcPr>
                <w:p w:rsidR="007B2926" w:rsidRPr="00B04D15" w:rsidRDefault="007B2926" w:rsidP="007B2926">
                  <w:r w:rsidRPr="00B04D15">
                    <w:t xml:space="preserve">Хромакейный фон зеленого цвета. Размер не менее 2.64х5.9 м и не более 2.73х6.2 м. Изготовлен из тканого нейлонового полотна. </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672"/>
              </w:trPr>
              <w:tc>
                <w:tcPr>
                  <w:tcW w:w="2864" w:type="dxa"/>
                </w:tcPr>
                <w:p w:rsidR="007B2926" w:rsidRPr="00B04D15" w:rsidRDefault="007B2926" w:rsidP="007B2926">
                  <w:r w:rsidRPr="00B04D15">
                    <w:t>Система установки фона. Максимальная высота стойки не менее 405 см и не более 412 см. Минимальная высота стойка не менее 113 см и не более 117 см. Диаметр секций от не менее 25 до не более 40 мм. Количество секций стойки не менее 4 и не более 5. Размах треноги не менее 103 см и не более 107 см. Длина перекладины не менее 381 см и не более 388 см. Диаметр перекладины не менее 33 мм и не более 37 мм. Размер не менее 125х27х16 см и не более 128х29х18 см. Вес стойки не менее 2.68 кг и не более 2.8 кг. Вес перекладины не менее 1.76 кг и не более 1.83 кг. Вес комплекта с сумкой не менее 7.9 кг и не более 8.1 кг. Вес комплекта с упаковкой не менее 8.7 кг и не более 8.9 кг.</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7B2926" w:rsidRPr="00B04D15" w:rsidRDefault="007B2926" w:rsidP="007B2926">
                  <w:r w:rsidRPr="00B04D15">
                    <w:t xml:space="preserve">ТЖК радиосистема. Накамерная радиосистема с подключаемым передатчиком. Частота от не менее 514-555 МГц до не более 517-558 МГц. Частотные характеристики нижней границы от не менее 23 Гц до не более 26 Гц, частотные характеристики верхней границы от не менее 17800 Гц до не более 18200 Гц. Петличный микрофон в комплекте конденсаторный всенаправленный. В комплекте приемник, передатчик, подключаемый передатчик, петличный микрофон, 2 кабеля, адаптер, батарейки. </w:t>
                  </w:r>
                </w:p>
              </w:tc>
              <w:tc>
                <w:tcPr>
                  <w:tcW w:w="567" w:type="dxa"/>
                  <w:tcBorders>
                    <w:top w:val="single" w:sz="4" w:space="0" w:color="auto"/>
                    <w:left w:val="single" w:sz="4" w:space="0" w:color="auto"/>
                    <w:bottom w:val="single" w:sz="4" w:space="0" w:color="auto"/>
                    <w:right w:val="single" w:sz="4" w:space="0" w:color="auto"/>
                  </w:tcBorders>
                </w:tcPr>
                <w:p w:rsidR="007B2926" w:rsidRPr="00B04D15" w:rsidRDefault="007B2926" w:rsidP="007B2926">
                  <w:pPr>
                    <w:jc w:val="center"/>
                    <w:rPr>
                      <w:b/>
                    </w:rPr>
                  </w:pPr>
                  <w:r w:rsidRPr="00B04D15">
                    <w:rPr>
                      <w:b/>
                    </w:rPr>
                    <w:t>Шт</w:t>
                  </w:r>
                </w:p>
              </w:tc>
              <w:tc>
                <w:tcPr>
                  <w:tcW w:w="850" w:type="dxa"/>
                  <w:tcBorders>
                    <w:top w:val="single" w:sz="4" w:space="0" w:color="auto"/>
                    <w:left w:val="single" w:sz="4" w:space="0" w:color="auto"/>
                    <w:bottom w:val="single" w:sz="4" w:space="0" w:color="auto"/>
                    <w:right w:val="single" w:sz="4" w:space="0" w:color="auto"/>
                  </w:tcBorders>
                </w:tcPr>
                <w:p w:rsidR="007B2926" w:rsidRPr="00B04D15" w:rsidRDefault="007B2926" w:rsidP="007B2926">
                  <w:pPr>
                    <w:jc w:val="center"/>
                    <w:rPr>
                      <w:b/>
                    </w:rPr>
                  </w:pPr>
                  <w:r w:rsidRPr="00B04D15">
                    <w:rPr>
                      <w:b/>
                    </w:rPr>
                    <w:t>1</w:t>
                  </w:r>
                </w:p>
              </w:tc>
            </w:tr>
            <w:tr w:rsidR="007B2926" w:rsidRPr="00B04D15" w:rsidTr="007B2926">
              <w:tblPrEx>
                <w:tblLook w:val="0000"/>
              </w:tblPrEx>
              <w:trPr>
                <w:trHeight w:val="528"/>
              </w:trPr>
              <w:tc>
                <w:tcPr>
                  <w:tcW w:w="2864" w:type="dxa"/>
                </w:tcPr>
                <w:p w:rsidR="007B2926" w:rsidRPr="00B04D15" w:rsidRDefault="007B2926" w:rsidP="007B2926">
                  <w:r w:rsidRPr="00B04D15">
                    <w:t>Радиосистема. Частота от не менее 514-555 МГц до не более 517-558 МГц. Диапазон воспроизводимых частот от не менее 24-17800 Гц до не более 26-18200 Гц. Передатчик ручной динамический, направленность кардиоида.  В комплекте рэковый приёмник, ручной передатчик, микрофонный держатель, блок питания, антенны, батарейки. Полоса пропускания до не менее 41 МГц и не более 43 МГц (не менее 1660 и не более 1690 настраиваемых частот)</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480"/>
              </w:trPr>
              <w:tc>
                <w:tcPr>
                  <w:tcW w:w="2864" w:type="dxa"/>
                </w:tcPr>
                <w:p w:rsidR="007B2926" w:rsidRPr="00B04D15" w:rsidRDefault="007B2926" w:rsidP="007B2926">
                  <w:r w:rsidRPr="00B04D15">
                    <w:t>Микрофонная прямая стойка. Диаметр основания не менее 247 мм и не более 252 мм. Материал основания чугун. Высота от не менее 867 - 1570 мм и не более 872 - 1580 мм. Вес не менее 3.5 кг и не более 3.65 кг.</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480"/>
              </w:trPr>
              <w:tc>
                <w:tcPr>
                  <w:tcW w:w="2864" w:type="dxa"/>
                </w:tcPr>
                <w:p w:rsidR="007B2926" w:rsidRPr="00B04D15" w:rsidRDefault="007B2926" w:rsidP="007B2926">
                  <w:r w:rsidRPr="00B04D15">
                    <w:t>Микрофонная пушка. Диапазон частот нижней границы от не менее 18 Гц до не более 21 Гц, диапазон частот верхней границы не менее 19400 Гц до не более 20300 Гц. Импеданс не менее 598 Ом и не более 603 Ом. Чувствительность не менее 10 и не более 12 мВ/Па. Максимальное звуковое давление не менее 126 дБ и не более 130 дБ. Соотношение сигнал шум не менее 17 дБ и не более 19 дБ. Размеры не менее 1.9х24.9 см и не более 2.1х25.6 см. Вес не менее 156 г и не более 164 г.</w:t>
                  </w:r>
                </w:p>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r w:rsidR="007B2926" w:rsidRPr="00B04D15" w:rsidTr="007B2926">
              <w:tblPrEx>
                <w:tblLook w:val="0000"/>
              </w:tblPrEx>
              <w:trPr>
                <w:trHeight w:val="504"/>
              </w:trPr>
              <w:tc>
                <w:tcPr>
                  <w:tcW w:w="2864" w:type="dxa"/>
                </w:tcPr>
                <w:p w:rsidR="007B2926" w:rsidRPr="00B04D15" w:rsidRDefault="007B2926" w:rsidP="007B2926">
                  <w:pPr>
                    <w:pStyle w:val="textbody"/>
                    <w:shd w:val="clear" w:color="auto" w:fill="FFFFFF"/>
                    <w:spacing w:before="0" w:beforeAutospacing="0" w:after="240" w:afterAutospacing="0"/>
                    <w:rPr>
                      <w:rFonts w:eastAsiaTheme="minorEastAsia"/>
                      <w:sz w:val="20"/>
                      <w:szCs w:val="20"/>
                    </w:rPr>
                  </w:pPr>
                  <w:r w:rsidRPr="00B04D15">
                    <w:rPr>
                      <w:rFonts w:eastAsiaTheme="minorEastAsia"/>
                      <w:sz w:val="20"/>
                      <w:szCs w:val="20"/>
                    </w:rPr>
                    <w:t xml:space="preserve">Конвертер. Видеовходы не менее 1 x 3G SDI, 1 x HDMI, HDMI v1.4a, RGB или YCbCr. Видео выходы 1 x 3G-SDI, SMPTE-259/292/296/424 (Level A).КодекиNDI в полном качестве (i-frame).1 </w:t>
                  </w:r>
                  <w:r w:rsidRPr="00B04D15">
                    <w:rPr>
                      <w:rFonts w:eastAsiaTheme="minorEastAsia"/>
                      <w:sz w:val="20"/>
                      <w:szCs w:val="20"/>
                      <w:lang w:val="en-US"/>
                    </w:rPr>
                    <w:t>xHDMI </w:t>
                  </w:r>
                  <w:r w:rsidRPr="00B04D15">
                    <w:rPr>
                      <w:rFonts w:eastAsiaTheme="minorEastAsia"/>
                      <w:sz w:val="20"/>
                      <w:szCs w:val="20"/>
                    </w:rPr>
                    <w:t>разъем</w:t>
                  </w:r>
                  <w:r w:rsidRPr="00B04D15">
                    <w:rPr>
                      <w:rFonts w:eastAsiaTheme="minorEastAsia"/>
                      <w:sz w:val="20"/>
                      <w:szCs w:val="20"/>
                      <w:lang w:val="en-US"/>
                    </w:rPr>
                    <w:t> TypeA</w:t>
                  </w:r>
                  <w:r w:rsidRPr="00B04D15">
                    <w:rPr>
                      <w:rFonts w:eastAsiaTheme="minorEastAsia"/>
                      <w:sz w:val="20"/>
                      <w:szCs w:val="20"/>
                    </w:rPr>
                    <w:t xml:space="preserve">. </w:t>
                  </w:r>
                  <w:r w:rsidRPr="00B04D15">
                    <w:rPr>
                      <w:rFonts w:eastAsiaTheme="minorEastAsia"/>
                      <w:sz w:val="20"/>
                      <w:szCs w:val="20"/>
                      <w:lang w:val="en-US"/>
                    </w:rPr>
                    <w:t>HDMIv</w:t>
                  </w:r>
                  <w:r w:rsidRPr="00B04D15">
                    <w:rPr>
                      <w:rFonts w:eastAsiaTheme="minorEastAsia"/>
                      <w:sz w:val="20"/>
                      <w:szCs w:val="20"/>
                    </w:rPr>
                    <w:t>1.4</w:t>
                  </w:r>
                  <w:r w:rsidRPr="00B04D15">
                    <w:rPr>
                      <w:rFonts w:eastAsiaTheme="minorEastAsia"/>
                      <w:sz w:val="20"/>
                      <w:szCs w:val="20"/>
                      <w:lang w:val="en-US"/>
                    </w:rPr>
                    <w:t>a</w:t>
                  </w:r>
                  <w:r w:rsidRPr="00B04D15">
                    <w:rPr>
                      <w:rFonts w:eastAsiaTheme="minorEastAsia"/>
                      <w:sz w:val="20"/>
                      <w:szCs w:val="20"/>
                    </w:rPr>
                    <w:t xml:space="preserve">, </w:t>
                  </w:r>
                  <w:r w:rsidRPr="00B04D15">
                    <w:rPr>
                      <w:rFonts w:eastAsiaTheme="minorEastAsia"/>
                      <w:sz w:val="20"/>
                      <w:szCs w:val="20"/>
                      <w:lang w:val="en-US"/>
                    </w:rPr>
                    <w:t>RGB </w:t>
                  </w:r>
                  <w:r w:rsidRPr="00B04D15">
                    <w:rPr>
                      <w:rFonts w:eastAsiaTheme="minorEastAsia"/>
                      <w:sz w:val="20"/>
                      <w:szCs w:val="20"/>
                    </w:rPr>
                    <w:t>или</w:t>
                  </w:r>
                  <w:r w:rsidRPr="00B04D15">
                    <w:rPr>
                      <w:rFonts w:eastAsiaTheme="minorEastAsia"/>
                      <w:sz w:val="20"/>
                      <w:szCs w:val="20"/>
                      <w:lang w:val="en-US"/>
                    </w:rPr>
                    <w:t> YCbCr</w:t>
                  </w:r>
                  <w:r w:rsidRPr="00B04D15">
                    <w:rPr>
                      <w:rFonts w:eastAsiaTheme="minorEastAsia"/>
                      <w:sz w:val="20"/>
                      <w:szCs w:val="20"/>
                    </w:rPr>
                    <w:t>. Масса не менее 298 г и не более 310 г. Размеры не менее 148х103х20 мм и не более 152х106х22 мм.</w:t>
                  </w:r>
                </w:p>
                <w:p w:rsidR="007B2926" w:rsidRPr="00B04D15" w:rsidRDefault="007B2926" w:rsidP="007B2926"/>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2</w:t>
                  </w:r>
                </w:p>
              </w:tc>
            </w:tr>
            <w:tr w:rsidR="007B2926" w:rsidRPr="00B04D15" w:rsidTr="007B2926">
              <w:tblPrEx>
                <w:tblLook w:val="0000"/>
              </w:tblPrEx>
              <w:trPr>
                <w:trHeight w:val="383"/>
              </w:trPr>
              <w:tc>
                <w:tcPr>
                  <w:tcW w:w="2864" w:type="dxa"/>
                </w:tcPr>
                <w:p w:rsidR="007B2926" w:rsidRPr="00B04D15" w:rsidRDefault="007B2926" w:rsidP="007B2926">
                  <w:r w:rsidRPr="00B04D15">
                    <w:t>Просмотровый монитор. Диагональ матрицы не менее 16.9" и не более 17.5". Максимальное разрешение не менее 1900х1000 и не более 1970х1111. Яркость не менее 298 кд/м² и не более 305 кд/м². Количество цветов не менее 15.9 млн и не более 16.4 млн. Контрастность не менее 589:1 и не более 610:1. Видеовходы: 2 x HD/SD-SDI, Composite видеосигнал, Y/C, 3 BNC x компонентный видеосигнал (YPbPr), HDMI. Видеовыходы: HD/SD-SDI, Composite видеосигнал, 3 BNC x компонентный видеосигнал (YPbPr). Габариты не менее 419х265х63 мм и не более 422х265х65 мм. Масса не менее 5.6 кг и не более 5.8 кг. Монтажная высота не менее 7U.</w:t>
                  </w:r>
                </w:p>
                <w:p w:rsidR="007B2926" w:rsidRPr="00B04D15" w:rsidRDefault="007B2926" w:rsidP="007B2926"/>
                <w:p w:rsidR="007B2926" w:rsidRPr="00B04D15" w:rsidRDefault="007B2926" w:rsidP="007B2926"/>
              </w:tc>
              <w:tc>
                <w:tcPr>
                  <w:tcW w:w="567" w:type="dxa"/>
                </w:tcPr>
                <w:p w:rsidR="007B2926" w:rsidRPr="00B04D15" w:rsidRDefault="007B2926" w:rsidP="007B2926">
                  <w:pPr>
                    <w:jc w:val="center"/>
                    <w:rPr>
                      <w:b/>
                    </w:rPr>
                  </w:pPr>
                  <w:r w:rsidRPr="00B04D15">
                    <w:rPr>
                      <w:b/>
                    </w:rPr>
                    <w:t>Шт</w:t>
                  </w:r>
                </w:p>
              </w:tc>
              <w:tc>
                <w:tcPr>
                  <w:tcW w:w="850" w:type="dxa"/>
                </w:tcPr>
                <w:p w:rsidR="007B2926" w:rsidRPr="00B04D15" w:rsidRDefault="007B2926" w:rsidP="007B2926">
                  <w:pPr>
                    <w:jc w:val="center"/>
                    <w:rPr>
                      <w:b/>
                    </w:rPr>
                  </w:pPr>
                  <w:r w:rsidRPr="00B04D15">
                    <w:rPr>
                      <w:b/>
                    </w:rPr>
                    <w:t>1</w:t>
                  </w:r>
                </w:p>
              </w:tc>
            </w:tr>
          </w:tbl>
          <w:tbl>
            <w:tblPr>
              <w:tblStyle w:val="aff0"/>
              <w:tblW w:w="4281" w:type="dxa"/>
              <w:tblLayout w:type="fixed"/>
              <w:tblLook w:val="04A0"/>
            </w:tblPr>
            <w:tblGrid>
              <w:gridCol w:w="3431"/>
              <w:gridCol w:w="850"/>
            </w:tblGrid>
            <w:tr w:rsidR="000117EA" w:rsidRPr="00B04D15" w:rsidTr="000117EA">
              <w:tc>
                <w:tcPr>
                  <w:tcW w:w="3431" w:type="dxa"/>
                  <w:vAlign w:val="center"/>
                </w:tcPr>
                <w:p w:rsidR="000117EA" w:rsidRPr="00B04D15" w:rsidRDefault="000117EA" w:rsidP="005A100A">
                  <w:r w:rsidRPr="00B04D15">
                    <w:t>Типоборудования – оперативная память</w:t>
                  </w:r>
                </w:p>
                <w:tbl>
                  <w:tblPr>
                    <w:tblW w:w="0" w:type="auto"/>
                    <w:tblCellSpacing w:w="15" w:type="dxa"/>
                    <w:tblLayout w:type="fixed"/>
                    <w:tblCellMar>
                      <w:top w:w="15" w:type="dxa"/>
                      <w:left w:w="15" w:type="dxa"/>
                      <w:bottom w:w="15" w:type="dxa"/>
                      <w:right w:w="15" w:type="dxa"/>
                    </w:tblCellMar>
                    <w:tblLook w:val="04A0"/>
                  </w:tblPr>
                  <w:tblGrid>
                    <w:gridCol w:w="1480"/>
                    <w:gridCol w:w="1276"/>
                  </w:tblGrid>
                  <w:tr w:rsidR="000117EA" w:rsidRPr="00B04D15" w:rsidTr="000117EA">
                    <w:trPr>
                      <w:tblCellSpacing w:w="15" w:type="dxa"/>
                    </w:trPr>
                    <w:tc>
                      <w:tcPr>
                        <w:tcW w:w="1435" w:type="dxa"/>
                        <w:vAlign w:val="center"/>
                        <w:hideMark/>
                      </w:tcPr>
                      <w:p w:rsidR="000117EA" w:rsidRPr="00B04D15" w:rsidRDefault="000117EA" w:rsidP="005A100A">
                        <w:r w:rsidRPr="00B04D15">
                          <w:t xml:space="preserve">Форм-фактор </w:t>
                        </w:r>
                        <w:hyperlink r:id="rId12" w:history="1">
                          <w:r w:rsidRPr="00B04D15">
                            <w:rPr>
                              <w:color w:val="0000FF"/>
                              <w:u w:val="single"/>
                            </w:rPr>
                            <w:t> </w:t>
                          </w:r>
                        </w:hyperlink>
                      </w:p>
                    </w:tc>
                    <w:tc>
                      <w:tcPr>
                        <w:tcW w:w="1231" w:type="dxa"/>
                        <w:vAlign w:val="center"/>
                        <w:hideMark/>
                      </w:tcPr>
                      <w:p w:rsidR="000117EA" w:rsidRPr="00B04D15" w:rsidRDefault="000117EA" w:rsidP="005A100A">
                        <w:r w:rsidRPr="00B04D15">
                          <w:t>DIMM</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Тип памяти </w:t>
                        </w:r>
                        <w:hyperlink r:id="rId13" w:history="1">
                          <w:r w:rsidRPr="00B04D15">
                            <w:rPr>
                              <w:color w:val="0000FF"/>
                              <w:u w:val="single"/>
                            </w:rPr>
                            <w:t> </w:t>
                          </w:r>
                        </w:hyperlink>
                      </w:p>
                    </w:tc>
                    <w:tc>
                      <w:tcPr>
                        <w:tcW w:w="1231" w:type="dxa"/>
                        <w:vAlign w:val="center"/>
                        <w:hideMark/>
                      </w:tcPr>
                      <w:p w:rsidR="000117EA" w:rsidRPr="00B04D15" w:rsidRDefault="000117EA" w:rsidP="005A100A">
                        <w:r w:rsidRPr="00B04D15">
                          <w:t>DDR-4</w:t>
                        </w:r>
                      </w:p>
                    </w:tc>
                  </w:tr>
                  <w:tr w:rsidR="000117EA" w:rsidRPr="00B04D15" w:rsidTr="000117EA">
                    <w:trPr>
                      <w:tblCellSpacing w:w="15" w:type="dxa"/>
                    </w:trPr>
                    <w:tc>
                      <w:tcPr>
                        <w:tcW w:w="1435" w:type="dxa"/>
                        <w:vAlign w:val="center"/>
                        <w:hideMark/>
                      </w:tcPr>
                      <w:p w:rsidR="000117EA" w:rsidRPr="00B04D15" w:rsidRDefault="000117EA" w:rsidP="005A100A">
                        <w:pPr>
                          <w:rPr>
                            <w:lang w:val="en-US"/>
                          </w:rPr>
                        </w:pPr>
                        <w:r w:rsidRPr="00B04D15">
                          <w:t xml:space="preserve">Объём памяти </w:t>
                        </w:r>
                        <w:r w:rsidRPr="00B04D15">
                          <w:rPr>
                            <w:color w:val="0000FF"/>
                            <w:u w:val="single"/>
                          </w:rPr>
                          <w:t> </w:t>
                        </w:r>
                      </w:p>
                    </w:tc>
                    <w:tc>
                      <w:tcPr>
                        <w:tcW w:w="1231" w:type="dxa"/>
                        <w:vAlign w:val="center"/>
                        <w:hideMark/>
                      </w:tcPr>
                      <w:p w:rsidR="000117EA" w:rsidRPr="00B04D15" w:rsidRDefault="000117EA" w:rsidP="005A100A">
                        <w:r w:rsidRPr="00B04D15">
                          <w:t>не менее 32768 Мб</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Объем одного модуля </w:t>
                        </w:r>
                        <w:hyperlink r:id="rId14" w:history="1">
                          <w:r w:rsidRPr="00B04D15">
                            <w:rPr>
                              <w:color w:val="0000FF"/>
                              <w:u w:val="single"/>
                            </w:rPr>
                            <w:t> </w:t>
                          </w:r>
                        </w:hyperlink>
                      </w:p>
                    </w:tc>
                    <w:tc>
                      <w:tcPr>
                        <w:tcW w:w="1231" w:type="dxa"/>
                        <w:vAlign w:val="center"/>
                        <w:hideMark/>
                      </w:tcPr>
                      <w:p w:rsidR="000117EA" w:rsidRPr="00B04D15" w:rsidRDefault="000117EA" w:rsidP="005A100A">
                        <w:r w:rsidRPr="00B04D15">
                          <w:t xml:space="preserve"> не менее 16384 Мб</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Тактовая частота </w:t>
                        </w:r>
                        <w:hyperlink r:id="rId15" w:history="1">
                          <w:r w:rsidRPr="00B04D15">
                            <w:rPr>
                              <w:color w:val="0000FF"/>
                              <w:u w:val="single"/>
                            </w:rPr>
                            <w:t> </w:t>
                          </w:r>
                        </w:hyperlink>
                      </w:p>
                    </w:tc>
                    <w:tc>
                      <w:tcPr>
                        <w:tcW w:w="1231" w:type="dxa"/>
                        <w:vAlign w:val="center"/>
                        <w:hideMark/>
                      </w:tcPr>
                      <w:p w:rsidR="000117EA" w:rsidRPr="00B04D15" w:rsidRDefault="000117EA" w:rsidP="005A100A">
                        <w:r w:rsidRPr="00B04D15">
                          <w:t xml:space="preserve"> более 3000 МГц</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Пропускная способность </w:t>
                        </w:r>
                        <w:hyperlink r:id="rId16" w:history="1">
                          <w:r w:rsidRPr="00B04D15">
                            <w:rPr>
                              <w:color w:val="0000FF"/>
                              <w:u w:val="single"/>
                            </w:rPr>
                            <w:t> </w:t>
                          </w:r>
                        </w:hyperlink>
                      </w:p>
                    </w:tc>
                    <w:tc>
                      <w:tcPr>
                        <w:tcW w:w="1231" w:type="dxa"/>
                        <w:vAlign w:val="center"/>
                        <w:hideMark/>
                      </w:tcPr>
                      <w:p w:rsidR="000117EA" w:rsidRPr="00B04D15" w:rsidRDefault="000117EA" w:rsidP="005A100A">
                        <w:r w:rsidRPr="00B04D15">
                          <w:t>не неиже23100 Мб/с</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CAS Latency (CL) </w:t>
                        </w:r>
                        <w:hyperlink r:id="rId17" w:history="1">
                          <w:r w:rsidRPr="00B04D15">
                            <w:rPr>
                              <w:color w:val="0000FF"/>
                              <w:u w:val="single"/>
                            </w:rPr>
                            <w:t> </w:t>
                          </w:r>
                        </w:hyperlink>
                      </w:p>
                    </w:tc>
                    <w:tc>
                      <w:tcPr>
                        <w:tcW w:w="1231" w:type="dxa"/>
                        <w:vAlign w:val="center"/>
                        <w:hideMark/>
                      </w:tcPr>
                      <w:p w:rsidR="000117EA" w:rsidRPr="00B04D15" w:rsidRDefault="000117EA" w:rsidP="005A100A">
                        <w:r w:rsidRPr="00B04D15">
                          <w:t>не ниже 16</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Напряжение питания </w:t>
                        </w:r>
                        <w:hyperlink r:id="rId18" w:history="1">
                          <w:r w:rsidRPr="00B04D15">
                            <w:rPr>
                              <w:color w:val="0000FF"/>
                              <w:u w:val="single"/>
                            </w:rPr>
                            <w:t> </w:t>
                          </w:r>
                        </w:hyperlink>
                      </w:p>
                    </w:tc>
                    <w:tc>
                      <w:tcPr>
                        <w:tcW w:w="1231" w:type="dxa"/>
                        <w:vAlign w:val="center"/>
                        <w:hideMark/>
                      </w:tcPr>
                      <w:p w:rsidR="000117EA" w:rsidRPr="00B04D15" w:rsidRDefault="000117EA" w:rsidP="005A100A">
                        <w:r w:rsidRPr="00B04D15">
                          <w:t>не более 1.35 В</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Система охлаждения </w:t>
                        </w:r>
                        <w:hyperlink r:id="rId19" w:history="1">
                          <w:r w:rsidRPr="00B04D15">
                            <w:rPr>
                              <w:color w:val="0000FF"/>
                              <w:u w:val="single"/>
                            </w:rPr>
                            <w:t> </w:t>
                          </w:r>
                        </w:hyperlink>
                      </w:p>
                    </w:tc>
                    <w:tc>
                      <w:tcPr>
                        <w:tcW w:w="1231" w:type="dxa"/>
                        <w:vAlign w:val="center"/>
                        <w:hideMark/>
                      </w:tcPr>
                      <w:p w:rsidR="000117EA" w:rsidRPr="00B04D15" w:rsidRDefault="000117EA" w:rsidP="005A100A">
                        <w:r w:rsidRPr="00B04D15">
                          <w:t>пассивная (радиатор)</w:t>
                        </w:r>
                      </w:p>
                    </w:tc>
                  </w:tr>
                </w:tbl>
                <w:p w:rsidR="000117EA" w:rsidRPr="00B04D15" w:rsidRDefault="000117EA" w:rsidP="005A100A">
                  <w:pPr>
                    <w:jc w:val="center"/>
                    <w:rPr>
                      <w:lang w:val="en-US"/>
                    </w:rPr>
                  </w:pPr>
                </w:p>
              </w:tc>
              <w:tc>
                <w:tcPr>
                  <w:tcW w:w="850" w:type="dxa"/>
                  <w:vAlign w:val="center"/>
                </w:tcPr>
                <w:p w:rsidR="000117EA" w:rsidRPr="00B04D15" w:rsidRDefault="000117EA" w:rsidP="005A100A">
                  <w:pPr>
                    <w:jc w:val="center"/>
                  </w:pPr>
                  <w:r w:rsidRPr="00B04D15">
                    <w:t>1 шт.</w:t>
                  </w:r>
                </w:p>
              </w:tc>
            </w:tr>
            <w:tr w:rsidR="000117EA" w:rsidRPr="00B04D15" w:rsidTr="000117EA">
              <w:tc>
                <w:tcPr>
                  <w:tcW w:w="3431" w:type="dxa"/>
                  <w:vAlign w:val="center"/>
                </w:tcPr>
                <w:p w:rsidR="000117EA" w:rsidRPr="00B04D15" w:rsidRDefault="000117EA" w:rsidP="005A100A">
                  <w:r w:rsidRPr="00B04D15">
                    <w:t>Типоборудования - Корпус</w:t>
                  </w:r>
                </w:p>
                <w:p w:rsidR="000117EA" w:rsidRPr="00B04D15" w:rsidRDefault="000117EA" w:rsidP="005A100A">
                  <w:r w:rsidRPr="00B04D15">
                    <w:t xml:space="preserve">Типоразмер - </w:t>
                  </w:r>
                  <w:r w:rsidRPr="00B04D15">
                    <w:rPr>
                      <w:lang w:val="en-US"/>
                    </w:rPr>
                    <w:t>MidiTower</w:t>
                  </w:r>
                </w:p>
                <w:p w:rsidR="000117EA" w:rsidRPr="00B04D15" w:rsidRDefault="000117EA" w:rsidP="005A100A">
                  <w:r w:rsidRPr="00B04D15">
                    <w:t>Максимальный форм-фактор материнской платы - ATX</w:t>
                  </w:r>
                </w:p>
                <w:p w:rsidR="000117EA" w:rsidRPr="00B04D15" w:rsidRDefault="000117EA" w:rsidP="005A100A">
                  <w:r w:rsidRPr="00B04D15">
                    <w:t>Материал корпуса - Сталь, пластик</w:t>
                  </w:r>
                </w:p>
                <w:p w:rsidR="000117EA" w:rsidRPr="00B04D15" w:rsidRDefault="000117EA" w:rsidP="005A100A">
                  <w:r w:rsidRPr="00B04D15">
                    <w:t>Передняя дверь - Наличие</w:t>
                  </w:r>
                </w:p>
                <w:p w:rsidR="000117EA" w:rsidRPr="00B04D15" w:rsidRDefault="000117EA" w:rsidP="005A100A">
                  <w:r w:rsidRPr="00B04D15">
                    <w:t>Количество внешних отсеков 5,25" -  не менее 2</w:t>
                  </w:r>
                </w:p>
                <w:p w:rsidR="000117EA" w:rsidRPr="00B04D15" w:rsidRDefault="000117EA" w:rsidP="005A100A">
                  <w:r w:rsidRPr="00B04D15">
                    <w:t>Количество внутренних отсеков 3,5" -  не менее 8</w:t>
                  </w:r>
                </w:p>
                <w:p w:rsidR="000117EA" w:rsidRPr="00B04D15" w:rsidRDefault="000117EA" w:rsidP="005A100A">
                  <w:r w:rsidRPr="00B04D15">
                    <w:t>Количество слотов расширения –  не менее 7</w:t>
                  </w:r>
                </w:p>
                <w:p w:rsidR="000117EA" w:rsidRPr="00B04D15" w:rsidRDefault="000117EA" w:rsidP="005A100A">
                  <w:r w:rsidRPr="00B04D15">
                    <w:t>Максимальная длина карт расширения</w:t>
                  </w:r>
                </w:p>
                <w:p w:rsidR="000117EA" w:rsidRPr="00B04D15" w:rsidRDefault="000117EA" w:rsidP="005A100A">
                  <w:r w:rsidRPr="00B04D15">
                    <w:t xml:space="preserve"> - не менее 310 мм</w:t>
                  </w:r>
                </w:p>
                <w:p w:rsidR="000117EA" w:rsidRPr="00B04D15" w:rsidRDefault="000117EA" w:rsidP="005A100A">
                  <w:r w:rsidRPr="00B04D15">
                    <w:t>Максимальная высота кулера CPU – не более 180 мм</w:t>
                  </w:r>
                </w:p>
                <w:p w:rsidR="000117EA" w:rsidRPr="00B04D15" w:rsidRDefault="000117EA" w:rsidP="005A100A">
                  <w:r w:rsidRPr="00B04D15">
                    <w:t>Максимальная глубина блока питания</w:t>
                  </w:r>
                </w:p>
                <w:p w:rsidR="000117EA" w:rsidRPr="00B04D15" w:rsidRDefault="000117EA" w:rsidP="005A100A">
                  <w:r w:rsidRPr="00B04D15">
                    <w:t xml:space="preserve"> - не более 190 мм</w:t>
                  </w:r>
                </w:p>
                <w:p w:rsidR="000117EA" w:rsidRPr="00B04D15" w:rsidRDefault="000117EA" w:rsidP="005A100A">
                  <w:r w:rsidRPr="00B04D15">
                    <w:t>USB 3.0  -  не менее 2 шт</w:t>
                  </w:r>
                </w:p>
                <w:p w:rsidR="000117EA" w:rsidRPr="00B04D15" w:rsidRDefault="000117EA" w:rsidP="005A100A">
                  <w:r w:rsidRPr="00B04D15">
                    <w:t>USB 2.0 – не менее 2 шт</w:t>
                  </w:r>
                </w:p>
                <w:p w:rsidR="000117EA" w:rsidRPr="00B04D15" w:rsidRDefault="000117EA" w:rsidP="005A100A">
                  <w:r w:rsidRPr="00B04D15">
                    <w:t>Выход на наушники - Наличие</w:t>
                  </w:r>
                </w:p>
                <w:p w:rsidR="000117EA" w:rsidRPr="00B04D15" w:rsidRDefault="000117EA" w:rsidP="005A100A">
                  <w:r w:rsidRPr="00B04D15">
                    <w:t>Микрофонный вход - Наличие</w:t>
                  </w:r>
                </w:p>
                <w:p w:rsidR="000117EA" w:rsidRPr="00B04D15" w:rsidRDefault="000117EA" w:rsidP="005A100A">
                  <w:r w:rsidRPr="00B04D15">
                    <w:t>Блок управления вентиляторами - наличие</w:t>
                  </w:r>
                </w:p>
                <w:p w:rsidR="000117EA" w:rsidRPr="00B04D15" w:rsidRDefault="000117EA" w:rsidP="005A100A">
                  <w:r w:rsidRPr="00B04D15">
                    <w:t>Количество встроенных вентиляторов</w:t>
                  </w:r>
                </w:p>
                <w:p w:rsidR="000117EA" w:rsidRPr="00B04D15" w:rsidRDefault="000117EA" w:rsidP="005A100A">
                  <w:r w:rsidRPr="00B04D15">
                    <w:t xml:space="preserve"> - не менее 2 шт</w:t>
                  </w:r>
                </w:p>
                <w:p w:rsidR="000117EA" w:rsidRPr="00B04D15" w:rsidRDefault="000117EA" w:rsidP="005A100A">
                  <w:pPr>
                    <w:rPr>
                      <w:b/>
                      <w:bCs/>
                    </w:rPr>
                  </w:pPr>
                  <w:r w:rsidRPr="00B04D15">
                    <w:t>Возможность установки системы жидкостного охлаждения – Есть</w:t>
                  </w:r>
                </w:p>
                <w:p w:rsidR="000117EA" w:rsidRPr="00B04D15" w:rsidRDefault="000117EA" w:rsidP="005A100A">
                  <w:r w:rsidRPr="00B04D15">
                    <w:t>Скрытая укладка шлейфов - наличие</w:t>
                  </w:r>
                </w:p>
                <w:p w:rsidR="000117EA" w:rsidRPr="00B04D15" w:rsidRDefault="000117EA" w:rsidP="005A100A">
                  <w:r w:rsidRPr="00B04D15">
                    <w:t>Габариты – не более 232 x 451 x 521 мм</w:t>
                  </w:r>
                </w:p>
                <w:p w:rsidR="000117EA" w:rsidRPr="00B04D15" w:rsidRDefault="000117EA" w:rsidP="005A100A">
                  <w:r w:rsidRPr="00B04D15">
                    <w:t>Вес нетто  -  не более 11 кг</w:t>
                  </w:r>
                </w:p>
                <w:p w:rsidR="000117EA" w:rsidRPr="00B04D15" w:rsidRDefault="000117EA" w:rsidP="005A100A">
                  <w:pPr>
                    <w:jc w:val="center"/>
                  </w:pPr>
                </w:p>
              </w:tc>
              <w:tc>
                <w:tcPr>
                  <w:tcW w:w="850" w:type="dxa"/>
                  <w:vAlign w:val="center"/>
                </w:tcPr>
                <w:p w:rsidR="000117EA" w:rsidRPr="00B04D15" w:rsidRDefault="000117EA" w:rsidP="005A100A">
                  <w:pPr>
                    <w:jc w:val="center"/>
                  </w:pPr>
                  <w:r w:rsidRPr="00B04D15">
                    <w:t>1шт.</w:t>
                  </w:r>
                </w:p>
              </w:tc>
            </w:tr>
            <w:tr w:rsidR="000117EA" w:rsidRPr="00B04D15" w:rsidTr="000117EA">
              <w:tc>
                <w:tcPr>
                  <w:tcW w:w="3431" w:type="dxa"/>
                  <w:vAlign w:val="center"/>
                </w:tcPr>
                <w:p w:rsidR="000117EA" w:rsidRPr="00B04D15" w:rsidRDefault="000117EA" w:rsidP="005A100A">
                  <w:r w:rsidRPr="00B04D15">
                    <w:t>Типоборудования – блок питания</w:t>
                  </w:r>
                </w:p>
                <w:tbl>
                  <w:tblPr>
                    <w:tblW w:w="3181" w:type="dxa"/>
                    <w:tblCellSpacing w:w="15" w:type="dxa"/>
                    <w:tblLayout w:type="fixed"/>
                    <w:tblCellMar>
                      <w:top w:w="15" w:type="dxa"/>
                      <w:left w:w="15" w:type="dxa"/>
                      <w:bottom w:w="15" w:type="dxa"/>
                      <w:right w:w="15" w:type="dxa"/>
                    </w:tblCellMar>
                    <w:tblLook w:val="04A0"/>
                  </w:tblPr>
                  <w:tblGrid>
                    <w:gridCol w:w="1622"/>
                    <w:gridCol w:w="1559"/>
                  </w:tblGrid>
                  <w:tr w:rsidR="000117EA" w:rsidRPr="00B04D15" w:rsidTr="000117EA">
                    <w:trPr>
                      <w:tblCellSpacing w:w="15" w:type="dxa"/>
                    </w:trPr>
                    <w:tc>
                      <w:tcPr>
                        <w:tcW w:w="1577" w:type="dxa"/>
                        <w:vAlign w:val="center"/>
                        <w:hideMark/>
                      </w:tcPr>
                      <w:p w:rsidR="000117EA" w:rsidRPr="00B04D15" w:rsidRDefault="000117EA" w:rsidP="005A100A">
                        <w:r w:rsidRPr="00B04D15">
                          <w:t xml:space="preserve">Мощность </w:t>
                        </w:r>
                      </w:p>
                    </w:tc>
                    <w:tc>
                      <w:tcPr>
                        <w:tcW w:w="1514" w:type="dxa"/>
                        <w:vAlign w:val="center"/>
                        <w:hideMark/>
                      </w:tcPr>
                      <w:p w:rsidR="000117EA" w:rsidRPr="00B04D15" w:rsidRDefault="000117EA" w:rsidP="005A100A">
                        <w:r w:rsidRPr="00B04D15">
                          <w:t>не менее 700 Вт</w:t>
                        </w:r>
                      </w:p>
                    </w:tc>
                  </w:tr>
                  <w:tr w:rsidR="000117EA" w:rsidRPr="00B04D15" w:rsidTr="000117EA">
                    <w:trPr>
                      <w:tblCellSpacing w:w="15" w:type="dxa"/>
                    </w:trPr>
                    <w:tc>
                      <w:tcPr>
                        <w:tcW w:w="1577" w:type="dxa"/>
                        <w:vAlign w:val="center"/>
                        <w:hideMark/>
                      </w:tcPr>
                      <w:p w:rsidR="000117EA" w:rsidRPr="00B04D15" w:rsidRDefault="000117EA" w:rsidP="005A100A">
                        <w:r w:rsidRPr="00B04D15">
                          <w:t>PFC</w:t>
                        </w:r>
                      </w:p>
                    </w:tc>
                    <w:tc>
                      <w:tcPr>
                        <w:tcW w:w="1514" w:type="dxa"/>
                        <w:vAlign w:val="center"/>
                        <w:hideMark/>
                      </w:tcPr>
                      <w:p w:rsidR="000117EA" w:rsidRPr="00B04D15" w:rsidRDefault="000117EA" w:rsidP="005A100A">
                        <w:r w:rsidRPr="00B04D15">
                          <w:t>наличие, активный</w:t>
                        </w:r>
                      </w:p>
                    </w:tc>
                  </w:tr>
                  <w:tr w:rsidR="000117EA" w:rsidRPr="00B04D15" w:rsidTr="000117EA">
                    <w:trPr>
                      <w:tblCellSpacing w:w="15" w:type="dxa"/>
                    </w:trPr>
                    <w:tc>
                      <w:tcPr>
                        <w:tcW w:w="1577" w:type="dxa"/>
                        <w:vAlign w:val="center"/>
                        <w:hideMark/>
                      </w:tcPr>
                      <w:p w:rsidR="000117EA" w:rsidRPr="00B04D15" w:rsidRDefault="000117EA" w:rsidP="005A100A">
                        <w:r w:rsidRPr="00B04D15">
                          <w:t>Размер вентилятора</w:t>
                        </w:r>
                        <w:hyperlink r:id="rId20" w:history="1">
                          <w:r w:rsidRPr="00B04D15">
                            <w:rPr>
                              <w:color w:val="0000FF"/>
                              <w:u w:val="single"/>
                            </w:rPr>
                            <w:t> </w:t>
                          </w:r>
                        </w:hyperlink>
                      </w:p>
                    </w:tc>
                    <w:tc>
                      <w:tcPr>
                        <w:tcW w:w="1514" w:type="dxa"/>
                        <w:vAlign w:val="center"/>
                        <w:hideMark/>
                      </w:tcPr>
                      <w:p w:rsidR="000117EA" w:rsidRPr="00B04D15" w:rsidRDefault="000117EA" w:rsidP="005A100A">
                        <w:r w:rsidRPr="00B04D15">
                          <w:t>не менее 140x140 мм</w:t>
                        </w:r>
                      </w:p>
                    </w:tc>
                  </w:tr>
                  <w:tr w:rsidR="000117EA" w:rsidRPr="00B04D15" w:rsidTr="000117EA">
                    <w:trPr>
                      <w:tblCellSpacing w:w="15" w:type="dxa"/>
                    </w:trPr>
                    <w:tc>
                      <w:tcPr>
                        <w:tcW w:w="1577" w:type="dxa"/>
                        <w:vAlign w:val="center"/>
                        <w:hideMark/>
                      </w:tcPr>
                      <w:p w:rsidR="000117EA" w:rsidRPr="00B04D15" w:rsidRDefault="000117EA" w:rsidP="005A100A">
                        <w:r w:rsidRPr="00B04D15">
                          <w:t xml:space="preserve">Защита от перенапряжения </w:t>
                        </w:r>
                        <w:hyperlink r:id="rId21" w:history="1">
                          <w:r w:rsidRPr="00B04D15">
                            <w:rPr>
                              <w:color w:val="0000FF"/>
                              <w:u w:val="single"/>
                            </w:rPr>
                            <w:t> </w:t>
                          </w:r>
                        </w:hyperlink>
                      </w:p>
                    </w:tc>
                    <w:tc>
                      <w:tcPr>
                        <w:tcW w:w="1514" w:type="dxa"/>
                        <w:vAlign w:val="center"/>
                        <w:hideMark/>
                      </w:tcPr>
                      <w:p w:rsidR="000117EA" w:rsidRPr="00B04D15" w:rsidRDefault="000117EA" w:rsidP="005A100A">
                        <w:r w:rsidRPr="00B04D15">
                          <w:t>наличие</w:t>
                        </w:r>
                      </w:p>
                    </w:tc>
                  </w:tr>
                  <w:tr w:rsidR="000117EA" w:rsidRPr="00B04D15" w:rsidTr="000117EA">
                    <w:trPr>
                      <w:tblCellSpacing w:w="15" w:type="dxa"/>
                    </w:trPr>
                    <w:tc>
                      <w:tcPr>
                        <w:tcW w:w="1577" w:type="dxa"/>
                        <w:vAlign w:val="center"/>
                        <w:hideMark/>
                      </w:tcPr>
                      <w:p w:rsidR="000117EA" w:rsidRPr="00B04D15" w:rsidRDefault="000117EA" w:rsidP="005A100A">
                        <w:r w:rsidRPr="00B04D15">
                          <w:t xml:space="preserve">Защита отперегрузки </w:t>
                        </w:r>
                      </w:p>
                    </w:tc>
                    <w:tc>
                      <w:tcPr>
                        <w:tcW w:w="1514" w:type="dxa"/>
                        <w:vAlign w:val="center"/>
                        <w:hideMark/>
                      </w:tcPr>
                      <w:p w:rsidR="000117EA" w:rsidRPr="00B04D15" w:rsidRDefault="000117EA" w:rsidP="005A100A">
                        <w:r w:rsidRPr="00B04D15">
                          <w:t>наличие</w:t>
                        </w:r>
                      </w:p>
                    </w:tc>
                  </w:tr>
                  <w:tr w:rsidR="000117EA" w:rsidRPr="00B04D15" w:rsidTr="000117EA">
                    <w:trPr>
                      <w:tblCellSpacing w:w="15" w:type="dxa"/>
                    </w:trPr>
                    <w:tc>
                      <w:tcPr>
                        <w:tcW w:w="1577" w:type="dxa"/>
                        <w:vAlign w:val="center"/>
                        <w:hideMark/>
                      </w:tcPr>
                      <w:p w:rsidR="000117EA" w:rsidRPr="00B04D15" w:rsidRDefault="000117EA" w:rsidP="005A100A">
                        <w:r w:rsidRPr="00B04D15">
                          <w:t xml:space="preserve">Защита от короткого замыкания </w:t>
                        </w:r>
                      </w:p>
                    </w:tc>
                    <w:tc>
                      <w:tcPr>
                        <w:tcW w:w="1514" w:type="dxa"/>
                        <w:vAlign w:val="center"/>
                        <w:hideMark/>
                      </w:tcPr>
                      <w:p w:rsidR="000117EA" w:rsidRPr="00B04D15" w:rsidRDefault="000117EA" w:rsidP="005A100A">
                        <w:r w:rsidRPr="00B04D15">
                          <w:t>наличие</w:t>
                        </w:r>
                      </w:p>
                    </w:tc>
                  </w:tr>
                  <w:tr w:rsidR="000117EA" w:rsidRPr="00B04D15" w:rsidTr="000117EA">
                    <w:trPr>
                      <w:tblCellSpacing w:w="15" w:type="dxa"/>
                    </w:trPr>
                    <w:tc>
                      <w:tcPr>
                        <w:tcW w:w="1577" w:type="dxa"/>
                        <w:vAlign w:val="center"/>
                        <w:hideMark/>
                      </w:tcPr>
                      <w:p w:rsidR="000117EA" w:rsidRPr="00B04D15" w:rsidRDefault="000117EA" w:rsidP="005A100A">
                        <w:r w:rsidRPr="00B04D15">
                          <w:t xml:space="preserve">Сертификат 80 PLUS </w:t>
                        </w:r>
                      </w:p>
                    </w:tc>
                    <w:tc>
                      <w:tcPr>
                        <w:tcW w:w="1514" w:type="dxa"/>
                        <w:vAlign w:val="center"/>
                        <w:hideMark/>
                      </w:tcPr>
                      <w:p w:rsidR="000117EA" w:rsidRPr="00B04D15" w:rsidRDefault="000117EA" w:rsidP="005A100A">
                        <w:r w:rsidRPr="00B04D15">
                          <w:t>наличие, Platinum</w:t>
                        </w:r>
                      </w:p>
                    </w:tc>
                  </w:tr>
                  <w:tr w:rsidR="000117EA" w:rsidRPr="00B04D15" w:rsidTr="000117EA">
                    <w:trPr>
                      <w:tblCellSpacing w:w="15" w:type="dxa"/>
                    </w:trPr>
                    <w:tc>
                      <w:tcPr>
                        <w:tcW w:w="1577" w:type="dxa"/>
                        <w:vAlign w:val="center"/>
                        <w:hideMark/>
                      </w:tcPr>
                      <w:p w:rsidR="000117EA" w:rsidRPr="00B04D15" w:rsidRDefault="000117EA" w:rsidP="005A100A">
                        <w:r w:rsidRPr="00B04D15">
                          <w:t>Отстегивающиеся кабели</w:t>
                        </w:r>
                      </w:p>
                    </w:tc>
                    <w:tc>
                      <w:tcPr>
                        <w:tcW w:w="1514" w:type="dxa"/>
                        <w:vAlign w:val="center"/>
                        <w:hideMark/>
                      </w:tcPr>
                      <w:p w:rsidR="000117EA" w:rsidRPr="00B04D15" w:rsidRDefault="000117EA" w:rsidP="005A100A">
                        <w:r w:rsidRPr="00B04D15">
                          <w:t>наличие</w:t>
                        </w:r>
                      </w:p>
                    </w:tc>
                  </w:tr>
                  <w:tr w:rsidR="000117EA" w:rsidRPr="00B04D15" w:rsidTr="000117EA">
                    <w:trPr>
                      <w:tblCellSpacing w:w="15" w:type="dxa"/>
                    </w:trPr>
                    <w:tc>
                      <w:tcPr>
                        <w:tcW w:w="1577" w:type="dxa"/>
                        <w:vAlign w:val="center"/>
                        <w:hideMark/>
                      </w:tcPr>
                      <w:p w:rsidR="000117EA" w:rsidRPr="00B04D15" w:rsidRDefault="000117EA" w:rsidP="005A100A">
                        <w:r w:rsidRPr="00B04D15">
                          <w:t>Размер, вес</w:t>
                        </w:r>
                      </w:p>
                    </w:tc>
                    <w:tc>
                      <w:tcPr>
                        <w:tcW w:w="1514" w:type="dxa"/>
                        <w:vAlign w:val="center"/>
                        <w:hideMark/>
                      </w:tcPr>
                      <w:p w:rsidR="000117EA" w:rsidRPr="00B04D15" w:rsidRDefault="000117EA" w:rsidP="005A100A">
                        <w:r w:rsidRPr="00B04D15">
                          <w:t xml:space="preserve">не более 150x86x180 мм, </w:t>
                        </w:r>
                      </w:p>
                      <w:p w:rsidR="000117EA" w:rsidRPr="00B04D15" w:rsidRDefault="000117EA" w:rsidP="005A100A">
                        <w:r w:rsidRPr="00B04D15">
                          <w:t>3.5 кг</w:t>
                        </w:r>
                      </w:p>
                    </w:tc>
                  </w:tr>
                  <w:tr w:rsidR="000117EA" w:rsidRPr="00B04D15" w:rsidTr="000117EA">
                    <w:trPr>
                      <w:tblCellSpacing w:w="15" w:type="dxa"/>
                    </w:trPr>
                    <w:tc>
                      <w:tcPr>
                        <w:tcW w:w="1577" w:type="dxa"/>
                        <w:vAlign w:val="center"/>
                      </w:tcPr>
                      <w:p w:rsidR="000117EA" w:rsidRPr="00B04D15" w:rsidRDefault="000117EA" w:rsidP="005A100A">
                        <w:r w:rsidRPr="00B04D15">
                          <w:t>Дополнительно</w:t>
                        </w:r>
                      </w:p>
                    </w:tc>
                    <w:tc>
                      <w:tcPr>
                        <w:tcW w:w="1514" w:type="dxa"/>
                        <w:vAlign w:val="center"/>
                      </w:tcPr>
                      <w:p w:rsidR="000117EA" w:rsidRPr="00B04D15" w:rsidRDefault="000117EA" w:rsidP="005A100A">
                        <w:r w:rsidRPr="00B04D15">
                          <w:t>возможность управления скоростью вращения вентилятора епосредственно с компьютера</w:t>
                        </w:r>
                      </w:p>
                    </w:tc>
                  </w:tr>
                </w:tbl>
                <w:p w:rsidR="000117EA" w:rsidRPr="00B04D15" w:rsidRDefault="000117EA" w:rsidP="005A100A">
                  <w:pPr>
                    <w:jc w:val="center"/>
                  </w:pPr>
                </w:p>
              </w:tc>
              <w:tc>
                <w:tcPr>
                  <w:tcW w:w="850" w:type="dxa"/>
                  <w:vAlign w:val="center"/>
                </w:tcPr>
                <w:p w:rsidR="000117EA" w:rsidRPr="00B04D15" w:rsidRDefault="000117EA" w:rsidP="005A100A">
                  <w:pPr>
                    <w:jc w:val="center"/>
                  </w:pPr>
                  <w:r w:rsidRPr="00B04D15">
                    <w:t>1шт.</w:t>
                  </w:r>
                </w:p>
              </w:tc>
            </w:tr>
            <w:tr w:rsidR="000117EA" w:rsidRPr="00B04D15" w:rsidTr="000117EA">
              <w:tc>
                <w:tcPr>
                  <w:tcW w:w="3431" w:type="dxa"/>
                  <w:vAlign w:val="center"/>
                </w:tcPr>
                <w:p w:rsidR="000117EA" w:rsidRPr="00B04D15" w:rsidRDefault="000117EA" w:rsidP="005A100A">
                  <w:r w:rsidRPr="00B04D15">
                    <w:t>Тип – накопитель на флеш памяти</w:t>
                  </w:r>
                </w:p>
                <w:p w:rsidR="000117EA" w:rsidRPr="00B04D15" w:rsidRDefault="000117EA" w:rsidP="005A100A">
                  <w:r w:rsidRPr="00B04D15">
                    <w:t>Форм-фактор - 2,5"</w:t>
                  </w:r>
                </w:p>
                <w:p w:rsidR="000117EA" w:rsidRPr="00B04D15" w:rsidRDefault="000117EA" w:rsidP="005A100A">
                  <w:r w:rsidRPr="00B04D15">
                    <w:t>Ёмкость  - не менее 250 GB</w:t>
                  </w:r>
                </w:p>
                <w:p w:rsidR="000117EA" w:rsidRPr="00B04D15" w:rsidRDefault="000117EA" w:rsidP="005A100A">
                  <w:r w:rsidRPr="00B04D15">
                    <w:t xml:space="preserve">Тип памяти - MLC </w:t>
                  </w:r>
                </w:p>
                <w:p w:rsidR="000117EA" w:rsidRPr="00B04D15" w:rsidRDefault="000117EA" w:rsidP="005A100A">
                  <w:r w:rsidRPr="00B04D15">
                    <w:t>Скорость чтения -  не немее560 МБ/с</w:t>
                  </w:r>
                </w:p>
                <w:p w:rsidR="000117EA" w:rsidRPr="00B04D15" w:rsidRDefault="000117EA" w:rsidP="005A100A">
                  <w:r w:rsidRPr="00B04D15">
                    <w:t>Скорость записи – не ниже 530 МБ/с</w:t>
                  </w:r>
                </w:p>
                <w:p w:rsidR="000117EA" w:rsidRPr="00B04D15" w:rsidRDefault="000117EA" w:rsidP="005A100A">
                  <w:r w:rsidRPr="00B04D15">
                    <w:t>Поддержка TRIM - наличие</w:t>
                  </w:r>
                </w:p>
                <w:p w:rsidR="000117EA" w:rsidRPr="00B04D15" w:rsidRDefault="000117EA" w:rsidP="005A100A">
                  <w:r w:rsidRPr="00B04D15">
                    <w:t>Разъем – SATA6 Гбит/с</w:t>
                  </w:r>
                </w:p>
                <w:p w:rsidR="000117EA" w:rsidRPr="00B04D15" w:rsidRDefault="000117EA" w:rsidP="005A100A">
                  <w:r w:rsidRPr="00B04D15">
                    <w:t>Среднее время наработки на отказ (MTBF)  - не менее 2000000 ч</w:t>
                  </w:r>
                </w:p>
                <w:p w:rsidR="000117EA" w:rsidRPr="00B04D15" w:rsidRDefault="000117EA" w:rsidP="005A100A">
                  <w:r w:rsidRPr="00B04D15">
                    <w:t>Ударостойкость при работе – не ниже 1500 G</w:t>
                  </w:r>
                </w:p>
                <w:p w:rsidR="000117EA" w:rsidRPr="00B04D15" w:rsidRDefault="000117EA" w:rsidP="005A100A">
                  <w:r w:rsidRPr="00B04D15">
                    <w:t xml:space="preserve">Энергопотребление – не выше 3.3 Вт </w:t>
                  </w:r>
                </w:p>
                <w:p w:rsidR="000117EA" w:rsidRPr="00B04D15" w:rsidRDefault="000117EA" w:rsidP="005A100A">
                  <w:r w:rsidRPr="00B04D15">
                    <w:t>Габариты – не более 70 x 7 x 100 мм</w:t>
                  </w:r>
                </w:p>
              </w:tc>
              <w:tc>
                <w:tcPr>
                  <w:tcW w:w="850" w:type="dxa"/>
                  <w:vAlign w:val="center"/>
                </w:tcPr>
                <w:p w:rsidR="000117EA" w:rsidRPr="00B04D15" w:rsidRDefault="000117EA" w:rsidP="005A100A">
                  <w:pPr>
                    <w:jc w:val="center"/>
                  </w:pPr>
                  <w:r w:rsidRPr="00B04D15">
                    <w:t>1 шт.</w:t>
                  </w:r>
                </w:p>
              </w:tc>
            </w:tr>
            <w:tr w:rsidR="000117EA" w:rsidRPr="00B04D15" w:rsidTr="000117EA">
              <w:tc>
                <w:tcPr>
                  <w:tcW w:w="3431" w:type="dxa"/>
                  <w:vAlign w:val="center"/>
                </w:tcPr>
                <w:p w:rsidR="000117EA" w:rsidRPr="00B04D15" w:rsidRDefault="000117EA" w:rsidP="005A100A">
                  <w:r w:rsidRPr="00B04D15">
                    <w:t>Тип – накопитель на флеш памяти</w:t>
                  </w:r>
                </w:p>
                <w:p w:rsidR="000117EA" w:rsidRPr="00B04D15" w:rsidRDefault="000117EA" w:rsidP="005A100A">
                  <w:r w:rsidRPr="00B04D15">
                    <w:t>Форм-фактор - 2,5"</w:t>
                  </w:r>
                </w:p>
                <w:p w:rsidR="000117EA" w:rsidRPr="00B04D15" w:rsidRDefault="000117EA" w:rsidP="005A100A">
                  <w:r w:rsidRPr="00B04D15">
                    <w:t>Ёмкость  - не менее 240 GB</w:t>
                  </w:r>
                </w:p>
                <w:p w:rsidR="000117EA" w:rsidRPr="00B04D15" w:rsidRDefault="000117EA" w:rsidP="005A100A">
                  <w:r w:rsidRPr="00B04D15">
                    <w:t xml:space="preserve">Тип памяти - MLC </w:t>
                  </w:r>
                </w:p>
                <w:p w:rsidR="000117EA" w:rsidRPr="00B04D15" w:rsidRDefault="000117EA" w:rsidP="005A100A">
                  <w:r w:rsidRPr="00B04D15">
                    <w:t>Скорость чтения -  не немее550 МБ/с</w:t>
                  </w:r>
                </w:p>
                <w:p w:rsidR="000117EA" w:rsidRPr="00B04D15" w:rsidRDefault="000117EA" w:rsidP="005A100A">
                  <w:r w:rsidRPr="00B04D15">
                    <w:t>Скорость записи – не ниже 520 МБ/с</w:t>
                  </w:r>
                </w:p>
                <w:p w:rsidR="000117EA" w:rsidRPr="00B04D15" w:rsidRDefault="000117EA" w:rsidP="005A100A">
                  <w:r w:rsidRPr="00B04D15">
                    <w:t>Поддержка TRIM - наличие</w:t>
                  </w:r>
                </w:p>
                <w:p w:rsidR="000117EA" w:rsidRPr="00B04D15" w:rsidRDefault="000117EA" w:rsidP="005A100A">
                  <w:r w:rsidRPr="00B04D15">
                    <w:t>Разъем – SATA6 Гбит/с</w:t>
                  </w:r>
                </w:p>
                <w:p w:rsidR="000117EA" w:rsidRPr="00B04D15" w:rsidRDefault="000117EA" w:rsidP="005A100A">
                  <w:r w:rsidRPr="00B04D15">
                    <w:t>Среднее время наработки на отказ (MTBF)  - не менее 2000000 ч</w:t>
                  </w:r>
                </w:p>
                <w:p w:rsidR="000117EA" w:rsidRPr="00B04D15" w:rsidRDefault="000117EA" w:rsidP="005A100A">
                  <w:r w:rsidRPr="00B04D15">
                    <w:t>Ударостойкость при работе – не ниже 1500 G</w:t>
                  </w:r>
                </w:p>
                <w:p w:rsidR="000117EA" w:rsidRPr="00B04D15" w:rsidRDefault="000117EA" w:rsidP="005A100A">
                  <w:r w:rsidRPr="00B04D15">
                    <w:t xml:space="preserve">Энергопотребление – не выше 3.3 Вт </w:t>
                  </w:r>
                </w:p>
                <w:p w:rsidR="000117EA" w:rsidRPr="00B04D15" w:rsidRDefault="000117EA" w:rsidP="005A100A">
                  <w:r w:rsidRPr="00B04D15">
                    <w:t>Габариты – не более 70 x 7 x 100 мм</w:t>
                  </w:r>
                </w:p>
              </w:tc>
              <w:tc>
                <w:tcPr>
                  <w:tcW w:w="850" w:type="dxa"/>
                  <w:vAlign w:val="center"/>
                </w:tcPr>
                <w:p w:rsidR="000117EA" w:rsidRPr="00B04D15" w:rsidRDefault="000117EA" w:rsidP="005A100A">
                  <w:pPr>
                    <w:jc w:val="center"/>
                  </w:pPr>
                  <w:r w:rsidRPr="00B04D15">
                    <w:t>1шт</w:t>
                  </w:r>
                </w:p>
              </w:tc>
            </w:tr>
            <w:tr w:rsidR="000117EA" w:rsidRPr="00B04D15" w:rsidTr="000117EA">
              <w:tc>
                <w:tcPr>
                  <w:tcW w:w="3431" w:type="dxa"/>
                  <w:vAlign w:val="center"/>
                </w:tcPr>
                <w:tbl>
                  <w:tblPr>
                    <w:tblW w:w="3181" w:type="dxa"/>
                    <w:tblCellSpacing w:w="15" w:type="dxa"/>
                    <w:tblLayout w:type="fixed"/>
                    <w:tblCellMar>
                      <w:top w:w="15" w:type="dxa"/>
                      <w:left w:w="15" w:type="dxa"/>
                      <w:bottom w:w="15" w:type="dxa"/>
                      <w:right w:w="15" w:type="dxa"/>
                    </w:tblCellMar>
                    <w:tblLook w:val="04A0"/>
                  </w:tblPr>
                  <w:tblGrid>
                    <w:gridCol w:w="1905"/>
                    <w:gridCol w:w="1276"/>
                  </w:tblGrid>
                  <w:tr w:rsidR="000117EA" w:rsidRPr="00B04D15" w:rsidTr="000117EA">
                    <w:trPr>
                      <w:tblCellSpacing w:w="15" w:type="dxa"/>
                    </w:trPr>
                    <w:tc>
                      <w:tcPr>
                        <w:tcW w:w="1860" w:type="dxa"/>
                        <w:vAlign w:val="center"/>
                        <w:hideMark/>
                      </w:tcPr>
                      <w:p w:rsidR="000117EA" w:rsidRPr="00B04D15" w:rsidRDefault="000117EA" w:rsidP="005A100A">
                        <w:r w:rsidRPr="00B04D15">
                          <w:t>Тип оборудования</w:t>
                        </w:r>
                      </w:p>
                    </w:tc>
                    <w:tc>
                      <w:tcPr>
                        <w:tcW w:w="1231" w:type="dxa"/>
                        <w:vAlign w:val="center"/>
                        <w:hideMark/>
                      </w:tcPr>
                      <w:p w:rsidR="000117EA" w:rsidRPr="00B04D15" w:rsidRDefault="000117EA" w:rsidP="005A100A">
                        <w:r w:rsidRPr="00B04D15">
                          <w:t>Жесткий диск</w:t>
                        </w:r>
                      </w:p>
                    </w:tc>
                  </w:tr>
                  <w:tr w:rsidR="000117EA" w:rsidRPr="00B04D15" w:rsidTr="000117EA">
                    <w:trPr>
                      <w:tblCellSpacing w:w="15" w:type="dxa"/>
                    </w:trPr>
                    <w:tc>
                      <w:tcPr>
                        <w:tcW w:w="1860" w:type="dxa"/>
                        <w:vAlign w:val="center"/>
                        <w:hideMark/>
                      </w:tcPr>
                      <w:p w:rsidR="000117EA" w:rsidRPr="00B04D15" w:rsidRDefault="000117EA" w:rsidP="005A100A">
                        <w:r w:rsidRPr="00B04D15">
                          <w:t>Назначение</w:t>
                        </w:r>
                      </w:p>
                    </w:tc>
                    <w:tc>
                      <w:tcPr>
                        <w:tcW w:w="1231" w:type="dxa"/>
                        <w:vAlign w:val="center"/>
                        <w:hideMark/>
                      </w:tcPr>
                      <w:p w:rsidR="000117EA" w:rsidRPr="00B04D15" w:rsidRDefault="000117EA" w:rsidP="005A100A">
                        <w:r w:rsidRPr="00B04D15">
                          <w:t>внутренний</w:t>
                        </w:r>
                      </w:p>
                    </w:tc>
                  </w:tr>
                  <w:tr w:rsidR="000117EA" w:rsidRPr="00B04D15" w:rsidTr="000117EA">
                    <w:trPr>
                      <w:tblCellSpacing w:w="15" w:type="dxa"/>
                    </w:trPr>
                    <w:tc>
                      <w:tcPr>
                        <w:tcW w:w="1860" w:type="dxa"/>
                        <w:vAlign w:val="center"/>
                        <w:hideMark/>
                      </w:tcPr>
                      <w:p w:rsidR="000117EA" w:rsidRPr="00B04D15" w:rsidRDefault="000117EA" w:rsidP="005A100A">
                        <w:r w:rsidRPr="00B04D15">
                          <w:t>Форм-фактор</w:t>
                        </w:r>
                      </w:p>
                    </w:tc>
                    <w:tc>
                      <w:tcPr>
                        <w:tcW w:w="1231" w:type="dxa"/>
                        <w:vAlign w:val="center"/>
                        <w:hideMark/>
                      </w:tcPr>
                      <w:p w:rsidR="000117EA" w:rsidRPr="00B04D15" w:rsidRDefault="000117EA" w:rsidP="005A100A">
                        <w:r w:rsidRPr="00B04D15">
                          <w:t>3.5"</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Интерфейс </w:t>
                        </w:r>
                      </w:p>
                    </w:tc>
                    <w:tc>
                      <w:tcPr>
                        <w:tcW w:w="1231" w:type="dxa"/>
                        <w:vAlign w:val="center"/>
                        <w:hideMark/>
                      </w:tcPr>
                      <w:p w:rsidR="000117EA" w:rsidRPr="00B04D15" w:rsidRDefault="000117EA" w:rsidP="005A100A">
                        <w:r w:rsidRPr="00B04D15">
                          <w:t>SATA-III</w:t>
                        </w:r>
                      </w:p>
                    </w:tc>
                  </w:tr>
                  <w:tr w:rsidR="000117EA" w:rsidRPr="00B04D15" w:rsidTr="000117EA">
                    <w:trPr>
                      <w:tblCellSpacing w:w="15" w:type="dxa"/>
                    </w:trPr>
                    <w:tc>
                      <w:tcPr>
                        <w:tcW w:w="1860" w:type="dxa"/>
                        <w:vAlign w:val="center"/>
                        <w:hideMark/>
                      </w:tcPr>
                      <w:p w:rsidR="000117EA" w:rsidRPr="00B04D15" w:rsidRDefault="000117EA" w:rsidP="005A100A">
                        <w:r w:rsidRPr="00B04D15">
                          <w:t>Объём накопителя</w:t>
                        </w:r>
                      </w:p>
                    </w:tc>
                    <w:tc>
                      <w:tcPr>
                        <w:tcW w:w="1231" w:type="dxa"/>
                        <w:vAlign w:val="center"/>
                        <w:hideMark/>
                      </w:tcPr>
                      <w:p w:rsidR="000117EA" w:rsidRPr="00B04D15" w:rsidRDefault="000117EA" w:rsidP="005A100A">
                        <w:r w:rsidRPr="00B04D15">
                          <w:t xml:space="preserve"> не менее 2000 Гб</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Объём буферной памяти </w:t>
                        </w:r>
                      </w:p>
                    </w:tc>
                    <w:tc>
                      <w:tcPr>
                        <w:tcW w:w="1231" w:type="dxa"/>
                        <w:vAlign w:val="center"/>
                        <w:hideMark/>
                      </w:tcPr>
                      <w:p w:rsidR="000117EA" w:rsidRPr="00B04D15" w:rsidRDefault="000117EA" w:rsidP="005A100A">
                        <w:r w:rsidRPr="00B04D15">
                          <w:t>не менее 64 Мб</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Скорость вращения шпинделя </w:t>
                        </w:r>
                      </w:p>
                    </w:tc>
                    <w:tc>
                      <w:tcPr>
                        <w:tcW w:w="1231" w:type="dxa"/>
                        <w:vAlign w:val="center"/>
                        <w:hideMark/>
                      </w:tcPr>
                      <w:p w:rsidR="000117EA" w:rsidRPr="00B04D15" w:rsidRDefault="000117EA" w:rsidP="005A100A">
                        <w:r w:rsidRPr="00B04D15">
                          <w:t xml:space="preserve"> не ниже 7200 об/мин</w:t>
                        </w:r>
                      </w:p>
                    </w:tc>
                  </w:tr>
                </w:tbl>
                <w:p w:rsidR="000117EA" w:rsidRPr="00B04D15" w:rsidRDefault="000117EA" w:rsidP="005A100A">
                  <w:pPr>
                    <w:jc w:val="center"/>
                    <w:rPr>
                      <w:lang w:val="en-US"/>
                    </w:rPr>
                  </w:pPr>
                </w:p>
              </w:tc>
              <w:tc>
                <w:tcPr>
                  <w:tcW w:w="850" w:type="dxa"/>
                  <w:vAlign w:val="center"/>
                </w:tcPr>
                <w:p w:rsidR="000117EA" w:rsidRPr="00B04D15" w:rsidRDefault="000117EA" w:rsidP="005A100A">
                  <w:pPr>
                    <w:jc w:val="center"/>
                  </w:pPr>
                  <w:r w:rsidRPr="00B04D15">
                    <w:t>1шт.</w:t>
                  </w:r>
                </w:p>
              </w:tc>
            </w:tr>
            <w:tr w:rsidR="000117EA" w:rsidRPr="00B04D15" w:rsidTr="000117EA">
              <w:tc>
                <w:tcPr>
                  <w:tcW w:w="3431" w:type="dxa"/>
                  <w:vAlign w:val="center"/>
                </w:tcPr>
                <w:tbl>
                  <w:tblPr>
                    <w:tblW w:w="3181" w:type="dxa"/>
                    <w:tblCellSpacing w:w="15" w:type="dxa"/>
                    <w:tblLayout w:type="fixed"/>
                    <w:tblCellMar>
                      <w:top w:w="15" w:type="dxa"/>
                      <w:left w:w="15" w:type="dxa"/>
                      <w:bottom w:w="15" w:type="dxa"/>
                      <w:right w:w="15" w:type="dxa"/>
                    </w:tblCellMar>
                    <w:tblLook w:val="04A0"/>
                  </w:tblPr>
                  <w:tblGrid>
                    <w:gridCol w:w="1905"/>
                    <w:gridCol w:w="1276"/>
                  </w:tblGrid>
                  <w:tr w:rsidR="000117EA" w:rsidRPr="00B04D15" w:rsidTr="000117EA">
                    <w:trPr>
                      <w:tblCellSpacing w:w="15" w:type="dxa"/>
                    </w:trPr>
                    <w:tc>
                      <w:tcPr>
                        <w:tcW w:w="1860" w:type="dxa"/>
                        <w:vAlign w:val="center"/>
                        <w:hideMark/>
                      </w:tcPr>
                      <w:p w:rsidR="000117EA" w:rsidRPr="00B04D15" w:rsidRDefault="000117EA" w:rsidP="005A100A">
                        <w:r w:rsidRPr="00B04D15">
                          <w:t>Тип оборудования</w:t>
                        </w:r>
                      </w:p>
                    </w:tc>
                    <w:tc>
                      <w:tcPr>
                        <w:tcW w:w="1231" w:type="dxa"/>
                        <w:vAlign w:val="center"/>
                        <w:hideMark/>
                      </w:tcPr>
                      <w:p w:rsidR="000117EA" w:rsidRPr="00B04D15" w:rsidRDefault="000117EA" w:rsidP="005A100A">
                        <w:r w:rsidRPr="00B04D15">
                          <w:t>кулер  процессора</w:t>
                        </w:r>
                      </w:p>
                    </w:tc>
                  </w:tr>
                  <w:tr w:rsidR="000117EA" w:rsidRPr="00B04D15" w:rsidTr="000117EA">
                    <w:trPr>
                      <w:tblCellSpacing w:w="15" w:type="dxa"/>
                    </w:trPr>
                    <w:tc>
                      <w:tcPr>
                        <w:tcW w:w="1860" w:type="dxa"/>
                        <w:vAlign w:val="center"/>
                        <w:hideMark/>
                      </w:tcPr>
                      <w:p w:rsidR="000117EA" w:rsidRPr="00B04D15" w:rsidRDefault="000117EA" w:rsidP="005A100A">
                        <w:r w:rsidRPr="00B04D15">
                          <w:t>Socket</w:t>
                        </w:r>
                      </w:p>
                    </w:tc>
                    <w:tc>
                      <w:tcPr>
                        <w:tcW w:w="1231" w:type="dxa"/>
                        <w:vAlign w:val="center"/>
                        <w:hideMark/>
                      </w:tcPr>
                      <w:p w:rsidR="000117EA" w:rsidRPr="00B04D15" w:rsidRDefault="000117EA" w:rsidP="005A100A">
                        <w:pPr>
                          <w:rPr>
                            <w:lang w:val="en-US"/>
                          </w:rPr>
                        </w:pPr>
                        <w:r w:rsidRPr="00B04D15">
                          <w:rPr>
                            <w:lang w:val="en-US"/>
                          </w:rPr>
                          <w:t>1151</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Система охлаждения </w:t>
                        </w:r>
                        <w:hyperlink r:id="rId22" w:history="1">
                          <w:r w:rsidRPr="00B04D15">
                            <w:rPr>
                              <w:color w:val="0000FF"/>
                              <w:u w:val="single"/>
                            </w:rPr>
                            <w:t> </w:t>
                          </w:r>
                        </w:hyperlink>
                      </w:p>
                    </w:tc>
                    <w:tc>
                      <w:tcPr>
                        <w:tcW w:w="1231" w:type="dxa"/>
                        <w:vAlign w:val="center"/>
                        <w:hideMark/>
                      </w:tcPr>
                      <w:p w:rsidR="000117EA" w:rsidRPr="00B04D15" w:rsidRDefault="000117EA" w:rsidP="005A100A">
                        <w:r w:rsidRPr="00B04D15">
                          <w:t>активная</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Тепловые трубки </w:t>
                        </w:r>
                        <w:hyperlink r:id="rId23" w:history="1">
                          <w:r w:rsidRPr="00B04D15">
                            <w:rPr>
                              <w:color w:val="0000FF"/>
                              <w:u w:val="single"/>
                            </w:rPr>
                            <w:t> </w:t>
                          </w:r>
                        </w:hyperlink>
                      </w:p>
                    </w:tc>
                    <w:tc>
                      <w:tcPr>
                        <w:tcW w:w="1231" w:type="dxa"/>
                        <w:vAlign w:val="center"/>
                        <w:hideMark/>
                      </w:tcPr>
                      <w:p w:rsidR="000117EA" w:rsidRPr="00B04D15" w:rsidRDefault="000117EA" w:rsidP="005A100A">
                        <w:r w:rsidRPr="00B04D15">
                          <w:t>да, 6</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Материал радиатора </w:t>
                        </w:r>
                        <w:hyperlink r:id="rId24" w:history="1">
                          <w:r w:rsidRPr="00B04D15">
                            <w:rPr>
                              <w:color w:val="0000FF"/>
                              <w:u w:val="single"/>
                            </w:rPr>
                            <w:t> </w:t>
                          </w:r>
                        </w:hyperlink>
                      </w:p>
                    </w:tc>
                    <w:tc>
                      <w:tcPr>
                        <w:tcW w:w="1231" w:type="dxa"/>
                        <w:vAlign w:val="center"/>
                        <w:hideMark/>
                      </w:tcPr>
                      <w:p w:rsidR="000117EA" w:rsidRPr="00B04D15" w:rsidRDefault="000117EA" w:rsidP="005A100A">
                        <w:r w:rsidRPr="00B04D15">
                          <w:t>алюминий + медь</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Количество вентиляторов </w:t>
                        </w:r>
                        <w:hyperlink r:id="rId25" w:history="1">
                          <w:r w:rsidRPr="00B04D15">
                            <w:rPr>
                              <w:color w:val="0000FF"/>
                              <w:u w:val="single"/>
                            </w:rPr>
                            <w:t> </w:t>
                          </w:r>
                        </w:hyperlink>
                      </w:p>
                    </w:tc>
                    <w:tc>
                      <w:tcPr>
                        <w:tcW w:w="1231" w:type="dxa"/>
                        <w:vAlign w:val="center"/>
                        <w:hideMark/>
                      </w:tcPr>
                      <w:p w:rsidR="000117EA" w:rsidRPr="00B04D15" w:rsidRDefault="000117EA" w:rsidP="005A100A">
                        <w:r w:rsidRPr="00B04D15">
                          <w:t>2</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Размеры вентилятора </w:t>
                        </w:r>
                        <w:hyperlink r:id="rId26" w:history="1">
                          <w:r w:rsidRPr="00B04D15">
                            <w:rPr>
                              <w:color w:val="0000FF"/>
                              <w:u w:val="single"/>
                            </w:rPr>
                            <w:t> </w:t>
                          </w:r>
                        </w:hyperlink>
                      </w:p>
                    </w:tc>
                    <w:tc>
                      <w:tcPr>
                        <w:tcW w:w="1231" w:type="dxa"/>
                        <w:vAlign w:val="center"/>
                        <w:hideMark/>
                      </w:tcPr>
                      <w:p w:rsidR="000117EA" w:rsidRPr="00B04D15" w:rsidRDefault="000117EA" w:rsidP="005A100A">
                        <w:r w:rsidRPr="00B04D15">
                          <w:t>140x140 мм</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Скорость вращения вентилятора </w:t>
                        </w:r>
                        <w:hyperlink r:id="rId27" w:history="1">
                          <w:r w:rsidRPr="00B04D15">
                            <w:rPr>
                              <w:color w:val="0000FF"/>
                              <w:u w:val="single"/>
                            </w:rPr>
                            <w:t> </w:t>
                          </w:r>
                        </w:hyperlink>
                      </w:p>
                    </w:tc>
                    <w:tc>
                      <w:tcPr>
                        <w:tcW w:w="1231" w:type="dxa"/>
                        <w:vAlign w:val="center"/>
                        <w:hideMark/>
                      </w:tcPr>
                      <w:p w:rsidR="000117EA" w:rsidRPr="00B04D15" w:rsidRDefault="000117EA" w:rsidP="005A100A">
                        <w:r w:rsidRPr="00B04D15">
                          <w:t>300 - 1500 об/мин</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Уровень шума вентилятора </w:t>
                        </w:r>
                        <w:hyperlink r:id="rId28" w:history="1">
                          <w:r w:rsidRPr="00B04D15">
                            <w:rPr>
                              <w:color w:val="0000FF"/>
                              <w:u w:val="single"/>
                            </w:rPr>
                            <w:t> </w:t>
                          </w:r>
                        </w:hyperlink>
                      </w:p>
                    </w:tc>
                    <w:tc>
                      <w:tcPr>
                        <w:tcW w:w="1231" w:type="dxa"/>
                        <w:vAlign w:val="center"/>
                        <w:hideMark/>
                      </w:tcPr>
                      <w:p w:rsidR="000117EA" w:rsidRPr="00B04D15" w:rsidRDefault="000117EA" w:rsidP="005A100A">
                        <w:r w:rsidRPr="00B04D15">
                          <w:t>19.2 - 24.6 дБ</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Воздушный поток </w:t>
                        </w:r>
                        <w:hyperlink r:id="rId29" w:history="1">
                          <w:r w:rsidRPr="00B04D15">
                            <w:rPr>
                              <w:color w:val="0000FF"/>
                              <w:u w:val="single"/>
                            </w:rPr>
                            <w:t> </w:t>
                          </w:r>
                        </w:hyperlink>
                      </w:p>
                    </w:tc>
                    <w:tc>
                      <w:tcPr>
                        <w:tcW w:w="1231" w:type="dxa"/>
                        <w:vAlign w:val="center"/>
                        <w:hideMark/>
                      </w:tcPr>
                      <w:p w:rsidR="000117EA" w:rsidRPr="00B04D15" w:rsidRDefault="000117EA" w:rsidP="005A100A">
                        <w:r w:rsidRPr="00B04D15">
                          <w:t>82.52 CFM</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Тип подшипника </w:t>
                        </w:r>
                        <w:hyperlink r:id="rId30" w:history="1">
                          <w:r w:rsidRPr="00B04D15">
                            <w:rPr>
                              <w:color w:val="0000FF"/>
                              <w:u w:val="single"/>
                            </w:rPr>
                            <w:t> </w:t>
                          </w:r>
                        </w:hyperlink>
                      </w:p>
                    </w:tc>
                    <w:tc>
                      <w:tcPr>
                        <w:tcW w:w="1231" w:type="dxa"/>
                        <w:vAlign w:val="center"/>
                        <w:hideMark/>
                      </w:tcPr>
                      <w:p w:rsidR="000117EA" w:rsidRPr="00B04D15" w:rsidRDefault="000117EA" w:rsidP="005A100A">
                        <w:r w:rsidRPr="00B04D15">
                          <w:t>с магнитным центрированием</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Регулятор оборотов </w:t>
                        </w:r>
                        <w:hyperlink r:id="rId31" w:history="1">
                          <w:r w:rsidRPr="00B04D15">
                            <w:rPr>
                              <w:color w:val="0000FF"/>
                              <w:u w:val="single"/>
                            </w:rPr>
                            <w:t> </w:t>
                          </w:r>
                        </w:hyperlink>
                      </w:p>
                    </w:tc>
                    <w:tc>
                      <w:tcPr>
                        <w:tcW w:w="1231" w:type="dxa"/>
                        <w:vAlign w:val="center"/>
                        <w:hideMark/>
                      </w:tcPr>
                      <w:p w:rsidR="000117EA" w:rsidRPr="00B04D15" w:rsidRDefault="000117EA" w:rsidP="005A100A">
                        <w:r w:rsidRPr="00B04D15">
                          <w:t>PWM</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Высота кулера </w:t>
                        </w:r>
                        <w:hyperlink r:id="rId32" w:history="1">
                          <w:r w:rsidRPr="00B04D15">
                            <w:rPr>
                              <w:color w:val="0000FF"/>
                              <w:u w:val="single"/>
                            </w:rPr>
                            <w:t> </w:t>
                          </w:r>
                        </w:hyperlink>
                      </w:p>
                    </w:tc>
                    <w:tc>
                      <w:tcPr>
                        <w:tcW w:w="1231" w:type="dxa"/>
                        <w:vAlign w:val="center"/>
                        <w:hideMark/>
                      </w:tcPr>
                      <w:p w:rsidR="000117EA" w:rsidRPr="00B04D15" w:rsidRDefault="000117EA" w:rsidP="005A100A">
                        <w:r w:rsidRPr="00B04D15">
                          <w:t>не более 165 мм</w:t>
                        </w:r>
                      </w:p>
                    </w:tc>
                  </w:tr>
                  <w:tr w:rsidR="000117EA" w:rsidRPr="00B04D15" w:rsidTr="000117EA">
                    <w:trPr>
                      <w:tblCellSpacing w:w="15" w:type="dxa"/>
                    </w:trPr>
                    <w:tc>
                      <w:tcPr>
                        <w:tcW w:w="1860" w:type="dxa"/>
                        <w:vAlign w:val="center"/>
                        <w:hideMark/>
                      </w:tcPr>
                      <w:p w:rsidR="000117EA" w:rsidRPr="00B04D15" w:rsidRDefault="000117EA" w:rsidP="005A100A">
                        <w:r w:rsidRPr="00B04D15">
                          <w:t>Размеры (ШхВхГ)</w:t>
                        </w:r>
                      </w:p>
                    </w:tc>
                    <w:tc>
                      <w:tcPr>
                        <w:tcW w:w="1231" w:type="dxa"/>
                        <w:vAlign w:val="center"/>
                        <w:hideMark/>
                      </w:tcPr>
                      <w:p w:rsidR="000117EA" w:rsidRPr="00B04D15" w:rsidRDefault="000117EA" w:rsidP="005A100A">
                        <w:r w:rsidRPr="00B04D15">
                          <w:t>не более 150 x 165 x 161 мм</w:t>
                        </w:r>
                      </w:p>
                    </w:tc>
                  </w:tr>
                  <w:tr w:rsidR="000117EA" w:rsidRPr="00B04D15" w:rsidTr="000117EA">
                    <w:trPr>
                      <w:tblCellSpacing w:w="15" w:type="dxa"/>
                    </w:trPr>
                    <w:tc>
                      <w:tcPr>
                        <w:tcW w:w="1860" w:type="dxa"/>
                        <w:vAlign w:val="center"/>
                        <w:hideMark/>
                      </w:tcPr>
                      <w:p w:rsidR="000117EA" w:rsidRPr="00B04D15" w:rsidRDefault="000117EA" w:rsidP="005A100A">
                        <w:r w:rsidRPr="00B04D15">
                          <w:t>Вес</w:t>
                        </w:r>
                      </w:p>
                    </w:tc>
                    <w:tc>
                      <w:tcPr>
                        <w:tcW w:w="1231" w:type="dxa"/>
                        <w:vAlign w:val="center"/>
                        <w:hideMark/>
                      </w:tcPr>
                      <w:p w:rsidR="000117EA" w:rsidRPr="00B04D15" w:rsidRDefault="000117EA" w:rsidP="005A100A">
                        <w:r w:rsidRPr="00B04D15">
                          <w:t>не более 1.5 кг</w:t>
                        </w:r>
                      </w:p>
                    </w:tc>
                  </w:tr>
                </w:tbl>
                <w:p w:rsidR="000117EA" w:rsidRPr="00B04D15" w:rsidRDefault="000117EA" w:rsidP="005A100A">
                  <w:pPr>
                    <w:jc w:val="center"/>
                    <w:rPr>
                      <w:lang w:val="en-US"/>
                    </w:rPr>
                  </w:pPr>
                </w:p>
              </w:tc>
              <w:tc>
                <w:tcPr>
                  <w:tcW w:w="850" w:type="dxa"/>
                  <w:vAlign w:val="center"/>
                </w:tcPr>
                <w:p w:rsidR="000117EA" w:rsidRPr="00B04D15" w:rsidRDefault="000117EA" w:rsidP="005A100A">
                  <w:pPr>
                    <w:jc w:val="center"/>
                  </w:pPr>
                  <w:r w:rsidRPr="00B04D15">
                    <w:t>1 шт.</w:t>
                  </w:r>
                </w:p>
              </w:tc>
            </w:tr>
            <w:tr w:rsidR="000117EA" w:rsidRPr="00B04D15" w:rsidTr="000117EA">
              <w:tc>
                <w:tcPr>
                  <w:tcW w:w="3431" w:type="dxa"/>
                  <w:vAlign w:val="center"/>
                </w:tcPr>
                <w:tbl>
                  <w:tblPr>
                    <w:tblW w:w="3181" w:type="dxa"/>
                    <w:tblCellSpacing w:w="15" w:type="dxa"/>
                    <w:tblLayout w:type="fixed"/>
                    <w:tblCellMar>
                      <w:top w:w="15" w:type="dxa"/>
                      <w:left w:w="15" w:type="dxa"/>
                      <w:bottom w:w="15" w:type="dxa"/>
                      <w:right w:w="15" w:type="dxa"/>
                    </w:tblCellMar>
                    <w:tblLook w:val="04A0"/>
                  </w:tblPr>
                  <w:tblGrid>
                    <w:gridCol w:w="1905"/>
                    <w:gridCol w:w="1276"/>
                  </w:tblGrid>
                  <w:tr w:rsidR="000117EA" w:rsidRPr="00B04D15" w:rsidTr="000117EA">
                    <w:trPr>
                      <w:tblCellSpacing w:w="15" w:type="dxa"/>
                    </w:trPr>
                    <w:tc>
                      <w:tcPr>
                        <w:tcW w:w="1860" w:type="dxa"/>
                        <w:vAlign w:val="center"/>
                        <w:hideMark/>
                      </w:tcPr>
                      <w:p w:rsidR="000117EA" w:rsidRPr="00B04D15" w:rsidRDefault="000117EA" w:rsidP="005A100A">
                        <w:r w:rsidRPr="00B04D15">
                          <w:t>Тип оборудования</w:t>
                        </w:r>
                      </w:p>
                    </w:tc>
                    <w:tc>
                      <w:tcPr>
                        <w:tcW w:w="1231" w:type="dxa"/>
                        <w:vAlign w:val="center"/>
                        <w:hideMark/>
                      </w:tcPr>
                      <w:p w:rsidR="000117EA" w:rsidRPr="00B04D15" w:rsidRDefault="000117EA" w:rsidP="005A100A">
                        <w:r w:rsidRPr="00B04D15">
                          <w:t>Видеокарта</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Интерфейс </w:t>
                        </w:r>
                        <w:hyperlink r:id="rId33" w:history="1">
                          <w:r w:rsidRPr="00B04D15">
                            <w:rPr>
                              <w:color w:val="0000FF"/>
                              <w:u w:val="single"/>
                            </w:rPr>
                            <w:t> </w:t>
                          </w:r>
                        </w:hyperlink>
                      </w:p>
                    </w:tc>
                    <w:tc>
                      <w:tcPr>
                        <w:tcW w:w="1231" w:type="dxa"/>
                        <w:vAlign w:val="center"/>
                        <w:hideMark/>
                      </w:tcPr>
                      <w:p w:rsidR="000117EA" w:rsidRPr="00B04D15" w:rsidRDefault="000117EA" w:rsidP="005A100A">
                        <w:r w:rsidRPr="00B04D15">
                          <w:t>PCI Express 3.0</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Производитель видеопроцессора </w:t>
                        </w:r>
                        <w:hyperlink r:id="rId34" w:history="1">
                          <w:r w:rsidRPr="00B04D15">
                            <w:rPr>
                              <w:color w:val="0000FF"/>
                              <w:u w:val="single"/>
                            </w:rPr>
                            <w:t> </w:t>
                          </w:r>
                        </w:hyperlink>
                      </w:p>
                    </w:tc>
                    <w:tc>
                      <w:tcPr>
                        <w:tcW w:w="1231" w:type="dxa"/>
                        <w:vAlign w:val="center"/>
                        <w:hideMark/>
                      </w:tcPr>
                      <w:p w:rsidR="000117EA" w:rsidRPr="00B04D15" w:rsidRDefault="000117EA" w:rsidP="005A100A">
                        <w:r w:rsidRPr="00B04D15">
                          <w:t>nVidia</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Название графического процессора </w:t>
                        </w:r>
                      </w:p>
                    </w:tc>
                    <w:tc>
                      <w:tcPr>
                        <w:tcW w:w="1231" w:type="dxa"/>
                        <w:vAlign w:val="center"/>
                        <w:hideMark/>
                      </w:tcPr>
                      <w:p w:rsidR="000117EA" w:rsidRPr="00B04D15" w:rsidRDefault="000117EA" w:rsidP="005A100A">
                        <w:r w:rsidRPr="00B04D15">
                          <w:t>GP107</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Техпроцесс </w:t>
                        </w:r>
                        <w:hyperlink r:id="rId35" w:history="1">
                          <w:r w:rsidRPr="00B04D15">
                            <w:rPr>
                              <w:color w:val="0000FF"/>
                              <w:u w:val="single"/>
                            </w:rPr>
                            <w:t> </w:t>
                          </w:r>
                        </w:hyperlink>
                      </w:p>
                    </w:tc>
                    <w:tc>
                      <w:tcPr>
                        <w:tcW w:w="1231" w:type="dxa"/>
                        <w:vAlign w:val="center"/>
                        <w:hideMark/>
                      </w:tcPr>
                      <w:p w:rsidR="000117EA" w:rsidRPr="00B04D15" w:rsidRDefault="000117EA" w:rsidP="005A100A">
                        <w:r w:rsidRPr="00B04D15">
                          <w:t xml:space="preserve"> не ниже 14 нм</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Частота графического процессора </w:t>
                        </w:r>
                        <w:hyperlink r:id="rId36" w:history="1">
                          <w:r w:rsidRPr="00B04D15">
                            <w:rPr>
                              <w:color w:val="0000FF"/>
                              <w:u w:val="single"/>
                            </w:rPr>
                            <w:t> </w:t>
                          </w:r>
                        </w:hyperlink>
                      </w:p>
                    </w:tc>
                    <w:tc>
                      <w:tcPr>
                        <w:tcW w:w="1231" w:type="dxa"/>
                        <w:vAlign w:val="center"/>
                        <w:hideMark/>
                      </w:tcPr>
                      <w:p w:rsidR="000117EA" w:rsidRPr="00B04D15" w:rsidRDefault="000117EA" w:rsidP="005A100A">
                        <w:r w:rsidRPr="00B04D15">
                          <w:t xml:space="preserve"> не неиже1300 МГц</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Число универсальных процессоров </w:t>
                        </w:r>
                        <w:hyperlink r:id="rId37" w:history="1">
                          <w:r w:rsidRPr="00B04D15">
                            <w:rPr>
                              <w:color w:val="0000FF"/>
                              <w:u w:val="single"/>
                            </w:rPr>
                            <w:t> </w:t>
                          </w:r>
                        </w:hyperlink>
                      </w:p>
                    </w:tc>
                    <w:tc>
                      <w:tcPr>
                        <w:tcW w:w="1231" w:type="dxa"/>
                        <w:vAlign w:val="center"/>
                        <w:hideMark/>
                      </w:tcPr>
                      <w:p w:rsidR="000117EA" w:rsidRPr="00B04D15" w:rsidRDefault="000117EA" w:rsidP="005A100A">
                        <w:r w:rsidRPr="00B04D15">
                          <w:t>не менее 600</w:t>
                        </w:r>
                      </w:p>
                    </w:tc>
                  </w:tr>
                  <w:tr w:rsidR="000117EA" w:rsidRPr="00B04D15" w:rsidTr="000117EA">
                    <w:trPr>
                      <w:tblCellSpacing w:w="15" w:type="dxa"/>
                    </w:trPr>
                    <w:tc>
                      <w:tcPr>
                        <w:tcW w:w="1860" w:type="dxa"/>
                        <w:vAlign w:val="center"/>
                        <w:hideMark/>
                      </w:tcPr>
                      <w:p w:rsidR="000117EA" w:rsidRPr="00B04D15" w:rsidRDefault="000117EA" w:rsidP="005A100A">
                        <w:r w:rsidRPr="00B04D15">
                          <w:t>Поддержка DirectX</w:t>
                        </w:r>
                        <w:hyperlink r:id="rId38" w:history="1">
                          <w:r w:rsidRPr="00B04D15">
                            <w:rPr>
                              <w:color w:val="0000FF"/>
                              <w:u w:val="single"/>
                            </w:rPr>
                            <w:t> </w:t>
                          </w:r>
                        </w:hyperlink>
                      </w:p>
                    </w:tc>
                    <w:tc>
                      <w:tcPr>
                        <w:tcW w:w="1231" w:type="dxa"/>
                        <w:vAlign w:val="center"/>
                        <w:hideMark/>
                      </w:tcPr>
                      <w:p w:rsidR="000117EA" w:rsidRPr="00B04D15" w:rsidRDefault="000117EA" w:rsidP="005A100A">
                        <w:r w:rsidRPr="00B04D15">
                          <w:t>DirectX 12</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Объем памяти </w:t>
                        </w:r>
                        <w:hyperlink r:id="rId39" w:history="1">
                          <w:r w:rsidRPr="00B04D15">
                            <w:rPr>
                              <w:color w:val="0000FF"/>
                              <w:u w:val="single"/>
                            </w:rPr>
                            <w:t> </w:t>
                          </w:r>
                        </w:hyperlink>
                      </w:p>
                    </w:tc>
                    <w:tc>
                      <w:tcPr>
                        <w:tcW w:w="1231" w:type="dxa"/>
                        <w:vAlign w:val="center"/>
                        <w:hideMark/>
                      </w:tcPr>
                      <w:p w:rsidR="000117EA" w:rsidRPr="00B04D15" w:rsidRDefault="000117EA" w:rsidP="005A100A">
                        <w:r w:rsidRPr="00B04D15">
                          <w:t xml:space="preserve"> не менее 2048 Мб</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Тип памяти </w:t>
                        </w:r>
                        <w:hyperlink r:id="rId40" w:history="1">
                          <w:r w:rsidRPr="00B04D15">
                            <w:rPr>
                              <w:color w:val="0000FF"/>
                              <w:u w:val="single"/>
                            </w:rPr>
                            <w:t> </w:t>
                          </w:r>
                        </w:hyperlink>
                      </w:p>
                    </w:tc>
                    <w:tc>
                      <w:tcPr>
                        <w:tcW w:w="1231" w:type="dxa"/>
                        <w:vAlign w:val="center"/>
                        <w:hideMark/>
                      </w:tcPr>
                      <w:p w:rsidR="000117EA" w:rsidRPr="00B04D15" w:rsidRDefault="000117EA" w:rsidP="005A100A">
                        <w:r w:rsidRPr="00B04D15">
                          <w:t>не ниже GDDR5</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Шина памяти </w:t>
                        </w:r>
                      </w:p>
                    </w:tc>
                    <w:tc>
                      <w:tcPr>
                        <w:tcW w:w="1231" w:type="dxa"/>
                        <w:vAlign w:val="center"/>
                        <w:hideMark/>
                      </w:tcPr>
                      <w:p w:rsidR="000117EA" w:rsidRPr="00B04D15" w:rsidRDefault="000117EA" w:rsidP="005A100A">
                        <w:r w:rsidRPr="00B04D15">
                          <w:t>не менее 128 бит</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Частота видеопамяти </w:t>
                        </w:r>
                      </w:p>
                    </w:tc>
                    <w:tc>
                      <w:tcPr>
                        <w:tcW w:w="1231" w:type="dxa"/>
                        <w:vAlign w:val="center"/>
                        <w:hideMark/>
                      </w:tcPr>
                      <w:p w:rsidR="000117EA" w:rsidRPr="00B04D15" w:rsidRDefault="000117EA" w:rsidP="005A100A">
                        <w:r w:rsidRPr="00B04D15">
                          <w:t>не ниже 7000 МГц</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Количество занимаемых слотов </w:t>
                        </w:r>
                      </w:p>
                    </w:tc>
                    <w:tc>
                      <w:tcPr>
                        <w:tcW w:w="1231" w:type="dxa"/>
                        <w:vAlign w:val="center"/>
                        <w:hideMark/>
                      </w:tcPr>
                      <w:p w:rsidR="000117EA" w:rsidRPr="00B04D15" w:rsidRDefault="000117EA" w:rsidP="005A100A">
                        <w:r w:rsidRPr="00B04D15">
                          <w:t>не более 2</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Система охлаждения </w:t>
                        </w:r>
                      </w:p>
                    </w:tc>
                    <w:tc>
                      <w:tcPr>
                        <w:tcW w:w="1231" w:type="dxa"/>
                        <w:vAlign w:val="center"/>
                        <w:hideMark/>
                      </w:tcPr>
                      <w:p w:rsidR="000117EA" w:rsidRPr="00B04D15" w:rsidRDefault="000117EA" w:rsidP="005A100A">
                        <w:r w:rsidRPr="00B04D15">
                          <w:t>активная</w:t>
                        </w:r>
                      </w:p>
                    </w:tc>
                  </w:tr>
                  <w:tr w:rsidR="000117EA" w:rsidRPr="00B04D15" w:rsidTr="000117EA">
                    <w:trPr>
                      <w:tblCellSpacing w:w="15" w:type="dxa"/>
                    </w:trPr>
                    <w:tc>
                      <w:tcPr>
                        <w:tcW w:w="1860" w:type="dxa"/>
                        <w:vAlign w:val="center"/>
                        <w:hideMark/>
                      </w:tcPr>
                      <w:p w:rsidR="000117EA" w:rsidRPr="00B04D15" w:rsidRDefault="000117EA" w:rsidP="005A100A">
                        <w:r w:rsidRPr="00B04D15">
                          <w:t>Разъемы</w:t>
                        </w:r>
                      </w:p>
                    </w:tc>
                    <w:tc>
                      <w:tcPr>
                        <w:tcW w:w="1231" w:type="dxa"/>
                        <w:vAlign w:val="center"/>
                        <w:hideMark/>
                      </w:tcPr>
                      <w:p w:rsidR="000117EA" w:rsidRPr="00B04D15" w:rsidRDefault="000117EA" w:rsidP="005A100A">
                        <w:r w:rsidRPr="00B04D15">
                          <w:t xml:space="preserve"> наличие DVI, HDMI, </w:t>
                        </w:r>
                        <w:r w:rsidRPr="00B04D15">
                          <w:rPr>
                            <w:lang w:val="en-US"/>
                          </w:rPr>
                          <w:t>D</w:t>
                        </w:r>
                        <w:r w:rsidRPr="00B04D15">
                          <w:t>isplayPort</w:t>
                        </w:r>
                      </w:p>
                    </w:tc>
                  </w:tr>
                  <w:tr w:rsidR="000117EA" w:rsidRPr="00B04D15" w:rsidTr="000117EA">
                    <w:trPr>
                      <w:tblCellSpacing w:w="15" w:type="dxa"/>
                    </w:trPr>
                    <w:tc>
                      <w:tcPr>
                        <w:tcW w:w="1860" w:type="dxa"/>
                        <w:vAlign w:val="center"/>
                        <w:hideMark/>
                      </w:tcPr>
                      <w:p w:rsidR="000117EA" w:rsidRPr="00B04D15" w:rsidRDefault="000117EA" w:rsidP="005A100A">
                        <w:r w:rsidRPr="00B04D15">
                          <w:t>Количество поддерживаемых мониторов</w:t>
                        </w:r>
                      </w:p>
                    </w:tc>
                    <w:tc>
                      <w:tcPr>
                        <w:tcW w:w="1231" w:type="dxa"/>
                        <w:vAlign w:val="center"/>
                        <w:hideMark/>
                      </w:tcPr>
                      <w:p w:rsidR="000117EA" w:rsidRPr="00B04D15" w:rsidRDefault="000117EA" w:rsidP="005A100A">
                        <w:r w:rsidRPr="00B04D15">
                          <w:t>не менее 3</w:t>
                        </w:r>
                      </w:p>
                    </w:tc>
                  </w:tr>
                  <w:tr w:rsidR="000117EA" w:rsidRPr="00B04D15" w:rsidTr="000117EA">
                    <w:trPr>
                      <w:tblCellSpacing w:w="15" w:type="dxa"/>
                    </w:trPr>
                    <w:tc>
                      <w:tcPr>
                        <w:tcW w:w="1860" w:type="dxa"/>
                        <w:vAlign w:val="center"/>
                        <w:hideMark/>
                      </w:tcPr>
                      <w:p w:rsidR="000117EA" w:rsidRPr="00B04D15" w:rsidRDefault="000117EA" w:rsidP="005A100A">
                        <w:r w:rsidRPr="00B04D15">
                          <w:t xml:space="preserve">Максимальное разрешение </w:t>
                        </w:r>
                      </w:p>
                    </w:tc>
                    <w:tc>
                      <w:tcPr>
                        <w:tcW w:w="1231" w:type="dxa"/>
                        <w:vAlign w:val="center"/>
                        <w:hideMark/>
                      </w:tcPr>
                      <w:p w:rsidR="000117EA" w:rsidRPr="00B04D15" w:rsidRDefault="000117EA" w:rsidP="005A100A">
                        <w:r w:rsidRPr="00B04D15">
                          <w:t>7680x4320</w:t>
                        </w:r>
                      </w:p>
                    </w:tc>
                  </w:tr>
                </w:tbl>
                <w:p w:rsidR="000117EA" w:rsidRPr="00B04D15" w:rsidRDefault="000117EA" w:rsidP="005A100A">
                  <w:pPr>
                    <w:jc w:val="center"/>
                  </w:pPr>
                </w:p>
              </w:tc>
              <w:tc>
                <w:tcPr>
                  <w:tcW w:w="850" w:type="dxa"/>
                  <w:vAlign w:val="center"/>
                </w:tcPr>
                <w:p w:rsidR="000117EA" w:rsidRPr="00B04D15" w:rsidRDefault="000117EA" w:rsidP="005A100A">
                  <w:pPr>
                    <w:jc w:val="center"/>
                  </w:pPr>
                  <w:r w:rsidRPr="00B04D15">
                    <w:t>1шт.</w:t>
                  </w:r>
                </w:p>
              </w:tc>
            </w:tr>
            <w:tr w:rsidR="000117EA" w:rsidRPr="00B04D15" w:rsidTr="000117EA">
              <w:tc>
                <w:tcPr>
                  <w:tcW w:w="3431" w:type="dxa"/>
                  <w:vAlign w:val="center"/>
                </w:tcPr>
                <w:p w:rsidR="000117EA" w:rsidRPr="00B04D15" w:rsidRDefault="000117EA" w:rsidP="005A100A">
                  <w:r w:rsidRPr="00B04D15">
                    <w:t>Тип оборудования – Материнская плата</w:t>
                  </w:r>
                </w:p>
                <w:p w:rsidR="000117EA" w:rsidRPr="00B04D15" w:rsidRDefault="000117EA" w:rsidP="005A100A">
                  <w:r w:rsidRPr="00B04D15">
                    <w:t xml:space="preserve">Разъем процессора - LGA1151 </w:t>
                  </w:r>
                </w:p>
                <w:p w:rsidR="000117EA" w:rsidRPr="00B04D15" w:rsidRDefault="000117EA" w:rsidP="005A100A">
                  <w:r w:rsidRPr="00B04D15">
                    <w:t>Чипсет – не ниже Intel Z370</w:t>
                  </w:r>
                </w:p>
                <w:p w:rsidR="000117EA" w:rsidRPr="00B04D15" w:rsidRDefault="000117EA" w:rsidP="005A100A">
                  <w:r w:rsidRPr="00B04D15">
                    <w:t>Максимальная пропускная способность процессорной шины – не менее 8 ГТ/с</w:t>
                  </w:r>
                </w:p>
                <w:p w:rsidR="000117EA" w:rsidRPr="00B04D15" w:rsidRDefault="000117EA" w:rsidP="005A100A">
                  <w:r w:rsidRPr="00B04D15">
                    <w:t xml:space="preserve">TDP центрального процессора – не более </w:t>
                  </w:r>
                </w:p>
                <w:p w:rsidR="000117EA" w:rsidRPr="00B04D15" w:rsidRDefault="000117EA" w:rsidP="005A100A">
                  <w:r w:rsidRPr="00B04D15">
                    <w:t>95 Вт</w:t>
                  </w:r>
                </w:p>
                <w:p w:rsidR="000117EA" w:rsidRPr="00B04D15" w:rsidRDefault="000117EA" w:rsidP="005A100A">
                  <w:r w:rsidRPr="00B04D15">
                    <w:t>Тип - DDR4</w:t>
                  </w:r>
                </w:p>
                <w:p w:rsidR="000117EA" w:rsidRPr="00B04D15" w:rsidRDefault="000117EA" w:rsidP="005A100A">
                  <w:r w:rsidRPr="00B04D15">
                    <w:t>Количество слотов – не менее 4</w:t>
                  </w:r>
                </w:p>
                <w:p w:rsidR="000117EA" w:rsidRPr="00B04D15" w:rsidRDefault="000117EA" w:rsidP="005A100A">
                  <w:r w:rsidRPr="00B04D15">
                    <w:t>Максимальная частота – не более 4133 МГц</w:t>
                  </w:r>
                </w:p>
                <w:p w:rsidR="000117EA" w:rsidRPr="00B04D15" w:rsidRDefault="000117EA" w:rsidP="005A100A">
                  <w:r w:rsidRPr="00B04D15">
                    <w:t>Максимальный объем – не более 64 ГБ</w:t>
                  </w:r>
                </w:p>
                <w:p w:rsidR="000117EA" w:rsidRPr="00B04D15" w:rsidRDefault="000117EA" w:rsidP="005A100A">
                  <w:r w:rsidRPr="00B04D15">
                    <w:t>Количество PCI-E 16x – не менее 3</w:t>
                  </w:r>
                </w:p>
                <w:p w:rsidR="000117EA" w:rsidRPr="00B04D15" w:rsidRDefault="000117EA" w:rsidP="005A100A">
                  <w:r w:rsidRPr="00B04D15">
                    <w:t>Количество PCI-E 1x – не менее 1</w:t>
                  </w:r>
                </w:p>
                <w:p w:rsidR="000117EA" w:rsidRPr="00B04D15" w:rsidRDefault="000117EA" w:rsidP="005A100A">
                  <w:r w:rsidRPr="00B04D15">
                    <w:t>Графический чипсет - Intel HD Graphics</w:t>
                  </w:r>
                </w:p>
                <w:p w:rsidR="000117EA" w:rsidRPr="00B04D15" w:rsidRDefault="000117EA" w:rsidP="005A100A">
                  <w:r w:rsidRPr="00B04D15">
                    <w:t>Аудио чипсет - Realtek ALC1220</w:t>
                  </w:r>
                </w:p>
                <w:p w:rsidR="000117EA" w:rsidRPr="00B04D15" w:rsidRDefault="000117EA" w:rsidP="005A100A">
                  <w:r w:rsidRPr="00B04D15">
                    <w:t xml:space="preserve">Количество каналов аудио – не менее </w:t>
                  </w:r>
                </w:p>
                <w:p w:rsidR="000117EA" w:rsidRPr="00B04D15" w:rsidRDefault="000117EA" w:rsidP="005A100A">
                  <w:r w:rsidRPr="00B04D15">
                    <w:t>7.1</w:t>
                  </w:r>
                </w:p>
                <w:p w:rsidR="000117EA" w:rsidRPr="00B04D15" w:rsidRDefault="000117EA" w:rsidP="005A100A">
                  <w:r w:rsidRPr="00B04D15">
                    <w:t>M.2 (Socket 3) – не менее 3 шт</w:t>
                  </w:r>
                </w:p>
                <w:p w:rsidR="000117EA" w:rsidRPr="00B04D15" w:rsidRDefault="000117EA" w:rsidP="005A100A">
                  <w:r w:rsidRPr="00B04D15">
                    <w:t>Количество SATA 6 Гб/с – не менее 6 шт</w:t>
                  </w:r>
                </w:p>
                <w:p w:rsidR="000117EA" w:rsidRPr="00B04D15" w:rsidRDefault="000117EA" w:rsidP="005A100A">
                  <w:r w:rsidRPr="00B04D15">
                    <w:t xml:space="preserve">SATA 6 Гб/с RAID0, 1, 5, 10 – наличие </w:t>
                  </w:r>
                </w:p>
                <w:p w:rsidR="000117EA" w:rsidRPr="00B04D15" w:rsidRDefault="000117EA" w:rsidP="005A100A">
                  <w:r w:rsidRPr="00B04D15">
                    <w:t>Количество USB 3.1 – не менее 2 шт</w:t>
                  </w:r>
                </w:p>
                <w:p w:rsidR="000117EA" w:rsidRPr="00B04D15" w:rsidRDefault="000117EA" w:rsidP="005A100A">
                  <w:r w:rsidRPr="00B04D15">
                    <w:t>Количество USB 3.0  - не менее 7 шт</w:t>
                  </w:r>
                </w:p>
                <w:p w:rsidR="000117EA" w:rsidRPr="00B04D15" w:rsidRDefault="000117EA" w:rsidP="005A100A">
                  <w:r w:rsidRPr="00B04D15">
                    <w:t>Количество USB 2.0  - не менее 6 шт</w:t>
                  </w:r>
                </w:p>
                <w:p w:rsidR="000117EA" w:rsidRPr="00B04D15" w:rsidRDefault="000117EA" w:rsidP="005A100A">
                  <w:r w:rsidRPr="00B04D15">
                    <w:t xml:space="preserve">Выход S/PDIF – наличие </w:t>
                  </w:r>
                </w:p>
                <w:p w:rsidR="000117EA" w:rsidRPr="00B04D15" w:rsidRDefault="000117EA" w:rsidP="005A100A">
                  <w:r w:rsidRPr="00B04D15">
                    <w:t>Количество PS/2 - 1 шт</w:t>
                  </w:r>
                </w:p>
                <w:p w:rsidR="000117EA" w:rsidRPr="00B04D15" w:rsidRDefault="000117EA" w:rsidP="005A100A">
                  <w:r w:rsidRPr="00B04D15">
                    <w:t>Тип сетевой карты – не ниже 10/100/1000Base-T</w:t>
                  </w:r>
                </w:p>
                <w:p w:rsidR="000117EA" w:rsidRPr="00B04D15" w:rsidRDefault="000117EA" w:rsidP="005A100A">
                  <w:r w:rsidRPr="00B04D15">
                    <w:t>Количество разъемов для антенWi-Fi  - не менее 2</w:t>
                  </w:r>
                </w:p>
                <w:p w:rsidR="000117EA" w:rsidRPr="00B04D15" w:rsidRDefault="000117EA" w:rsidP="005A100A">
                  <w:pPr>
                    <w:rPr>
                      <w:lang w:val="en-US"/>
                    </w:rPr>
                  </w:pPr>
                  <w:r w:rsidRPr="00B04D15">
                    <w:t>Линейныеаудиоразъемы</w:t>
                  </w:r>
                  <w:r w:rsidRPr="00B04D15">
                    <w:rPr>
                      <w:lang w:val="en-US"/>
                    </w:rPr>
                    <w:t xml:space="preserve"> – </w:t>
                  </w:r>
                  <w:r w:rsidRPr="00B04D15">
                    <w:t>наличие</w:t>
                  </w:r>
                </w:p>
                <w:p w:rsidR="000117EA" w:rsidRPr="00B04D15" w:rsidRDefault="000117EA" w:rsidP="005A100A">
                  <w:pPr>
                    <w:rPr>
                      <w:lang w:val="en-US"/>
                    </w:rPr>
                  </w:pPr>
                  <w:r w:rsidRPr="00B04D15">
                    <w:rPr>
                      <w:lang w:val="en-US"/>
                    </w:rPr>
                    <w:t>7.1 out, Line-in, Mic-in</w:t>
                  </w:r>
                </w:p>
                <w:p w:rsidR="000117EA" w:rsidRPr="00B04D15" w:rsidRDefault="000117EA" w:rsidP="005A100A">
                  <w:r w:rsidRPr="00B04D15">
                    <w:rPr>
                      <w:lang w:val="en-US"/>
                    </w:rPr>
                    <w:t>HDMI</w:t>
                  </w:r>
                  <w:r w:rsidRPr="00B04D15">
                    <w:t>-</w:t>
                  </w:r>
                  <w:r w:rsidRPr="00B04D15">
                    <w:rPr>
                      <w:lang w:val="en-US"/>
                    </w:rPr>
                    <w:t>Out</w:t>
                  </w:r>
                  <w:r w:rsidRPr="00B04D15">
                    <w:t xml:space="preserve"> – не менее 1 шт</w:t>
                  </w:r>
                </w:p>
                <w:p w:rsidR="000117EA" w:rsidRPr="00B04D15" w:rsidRDefault="000117EA" w:rsidP="005A100A">
                  <w:r w:rsidRPr="00B04D15">
                    <w:rPr>
                      <w:lang w:val="en-US"/>
                    </w:rPr>
                    <w:t>DisplayPort</w:t>
                  </w:r>
                  <w:r w:rsidRPr="00B04D15">
                    <w:t>-</w:t>
                  </w:r>
                  <w:r w:rsidRPr="00B04D15">
                    <w:rPr>
                      <w:lang w:val="en-US"/>
                    </w:rPr>
                    <w:t>Out</w:t>
                  </w:r>
                  <w:r w:rsidRPr="00B04D15">
                    <w:t xml:space="preserve">  - не менее 1 шт</w:t>
                  </w:r>
                </w:p>
                <w:p w:rsidR="000117EA" w:rsidRPr="00B04D15" w:rsidRDefault="000117EA" w:rsidP="005A100A">
                  <w:r w:rsidRPr="00B04D15">
                    <w:t>Bluetooth  - не ниже 4.2</w:t>
                  </w:r>
                </w:p>
                <w:p w:rsidR="000117EA" w:rsidRPr="00B04D15" w:rsidRDefault="000117EA" w:rsidP="005A100A">
                  <w:r w:rsidRPr="00B04D15">
                    <w:t>Стандарты Wi-Fi - IEEE 802.11a, IEEE 802.11ac, IEEE 802.11b, IEEE 802.11g, IEEE 802.11n</w:t>
                  </w:r>
                </w:p>
                <w:p w:rsidR="000117EA" w:rsidRPr="00B04D15" w:rsidRDefault="000117EA" w:rsidP="005A100A">
                  <w:r w:rsidRPr="00B04D15">
                    <w:t>Разъем питания 24 pin + 8pin</w:t>
                  </w:r>
                </w:p>
                <w:p w:rsidR="000117EA" w:rsidRPr="00B04D15" w:rsidRDefault="000117EA" w:rsidP="005A100A">
                  <w:r w:rsidRPr="00B04D15">
                    <w:t>Количество разъемов для вентиляторов 4-pin  - не менее 8</w:t>
                  </w:r>
                </w:p>
                <w:p w:rsidR="000117EA" w:rsidRPr="00B04D15" w:rsidRDefault="000117EA" w:rsidP="005A100A">
                  <w:r w:rsidRPr="00B04D15">
                    <w:t>Наличие подсветки - Наличие</w:t>
                  </w:r>
                </w:p>
                <w:p w:rsidR="000117EA" w:rsidRPr="00B04D15" w:rsidRDefault="000117EA" w:rsidP="005A100A">
                  <w:r w:rsidRPr="00B04D15">
                    <w:t>Форм-фактор системной платы - ATX</w:t>
                  </w:r>
                </w:p>
                <w:p w:rsidR="000117EA" w:rsidRPr="00B04D15" w:rsidRDefault="000117EA" w:rsidP="005A100A">
                  <w:r w:rsidRPr="00B04D15">
                    <w:t>Габариты - 305 x 244 мм</w:t>
                  </w:r>
                </w:p>
              </w:tc>
              <w:tc>
                <w:tcPr>
                  <w:tcW w:w="850" w:type="dxa"/>
                  <w:vAlign w:val="center"/>
                </w:tcPr>
                <w:p w:rsidR="000117EA" w:rsidRPr="00B04D15" w:rsidRDefault="000117EA" w:rsidP="005A100A">
                  <w:pPr>
                    <w:jc w:val="center"/>
                  </w:pPr>
                  <w:r w:rsidRPr="00B04D15">
                    <w:t>1 шт.</w:t>
                  </w:r>
                </w:p>
              </w:tc>
            </w:tr>
            <w:tr w:rsidR="000117EA" w:rsidRPr="00B04D15" w:rsidTr="000117EA">
              <w:tc>
                <w:tcPr>
                  <w:tcW w:w="3431" w:type="dxa"/>
                  <w:vAlign w:val="center"/>
                </w:tcPr>
                <w:tbl>
                  <w:tblPr>
                    <w:tblW w:w="3181" w:type="dxa"/>
                    <w:tblCellSpacing w:w="15" w:type="dxa"/>
                    <w:tblLayout w:type="fixed"/>
                    <w:tblCellMar>
                      <w:top w:w="15" w:type="dxa"/>
                      <w:left w:w="15" w:type="dxa"/>
                      <w:bottom w:w="15" w:type="dxa"/>
                      <w:right w:w="15" w:type="dxa"/>
                    </w:tblCellMar>
                    <w:tblLook w:val="04A0"/>
                  </w:tblPr>
                  <w:tblGrid>
                    <w:gridCol w:w="1480"/>
                    <w:gridCol w:w="1701"/>
                  </w:tblGrid>
                  <w:tr w:rsidR="000117EA" w:rsidRPr="00B04D15" w:rsidTr="000117EA">
                    <w:trPr>
                      <w:tblCellSpacing w:w="15" w:type="dxa"/>
                    </w:trPr>
                    <w:tc>
                      <w:tcPr>
                        <w:tcW w:w="1435" w:type="dxa"/>
                        <w:vAlign w:val="center"/>
                        <w:hideMark/>
                      </w:tcPr>
                      <w:p w:rsidR="000117EA" w:rsidRPr="00B04D15" w:rsidRDefault="000117EA" w:rsidP="005A100A">
                        <w:r w:rsidRPr="00B04D15">
                          <w:t>Тип оборудования</w:t>
                        </w:r>
                      </w:p>
                    </w:tc>
                    <w:tc>
                      <w:tcPr>
                        <w:tcW w:w="1656" w:type="dxa"/>
                        <w:vAlign w:val="center"/>
                        <w:hideMark/>
                      </w:tcPr>
                      <w:p w:rsidR="000117EA" w:rsidRPr="00B04D15" w:rsidRDefault="000117EA" w:rsidP="005A100A">
                        <w:r w:rsidRPr="00B04D15">
                          <w:t>Процессор</w:t>
                        </w:r>
                      </w:p>
                    </w:tc>
                  </w:tr>
                  <w:tr w:rsidR="000117EA" w:rsidRPr="00B04D15" w:rsidTr="000117EA">
                    <w:trPr>
                      <w:tblCellSpacing w:w="15" w:type="dxa"/>
                    </w:trPr>
                    <w:tc>
                      <w:tcPr>
                        <w:tcW w:w="1435" w:type="dxa"/>
                        <w:vAlign w:val="center"/>
                        <w:hideMark/>
                      </w:tcPr>
                      <w:p w:rsidR="000117EA" w:rsidRPr="00B04D15" w:rsidRDefault="000117EA" w:rsidP="005A100A">
                        <w:r w:rsidRPr="00B04D15">
                          <w:t>Socket</w:t>
                        </w:r>
                        <w:hyperlink r:id="rId41" w:history="1">
                          <w:r w:rsidRPr="00B04D15">
                            <w:rPr>
                              <w:color w:val="0000FF"/>
                              <w:u w:val="single"/>
                            </w:rPr>
                            <w:t> </w:t>
                          </w:r>
                        </w:hyperlink>
                      </w:p>
                    </w:tc>
                    <w:tc>
                      <w:tcPr>
                        <w:tcW w:w="1656" w:type="dxa"/>
                        <w:vAlign w:val="center"/>
                        <w:hideMark/>
                      </w:tcPr>
                      <w:p w:rsidR="000117EA" w:rsidRPr="00B04D15" w:rsidRDefault="000117EA" w:rsidP="005A100A">
                        <w:r w:rsidRPr="00B04D15">
                          <w:t>1151 v2</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Ядро </w:t>
                        </w:r>
                        <w:hyperlink r:id="rId42" w:history="1">
                          <w:r w:rsidRPr="00B04D15">
                            <w:rPr>
                              <w:color w:val="0000FF"/>
                              <w:u w:val="single"/>
                            </w:rPr>
                            <w:t> </w:t>
                          </w:r>
                        </w:hyperlink>
                      </w:p>
                    </w:tc>
                    <w:tc>
                      <w:tcPr>
                        <w:tcW w:w="1656" w:type="dxa"/>
                        <w:vAlign w:val="center"/>
                        <w:hideMark/>
                      </w:tcPr>
                      <w:p w:rsidR="000117EA" w:rsidRPr="00B04D15" w:rsidRDefault="000117EA" w:rsidP="005A100A">
                        <w:r w:rsidRPr="00B04D15">
                          <w:t>CoffeeLake-S</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Количество ядер </w:t>
                        </w:r>
                        <w:hyperlink r:id="rId43" w:history="1">
                          <w:r w:rsidRPr="00B04D15">
                            <w:rPr>
                              <w:color w:val="0000FF"/>
                              <w:u w:val="single"/>
                            </w:rPr>
                            <w:t> </w:t>
                          </w:r>
                        </w:hyperlink>
                      </w:p>
                    </w:tc>
                    <w:tc>
                      <w:tcPr>
                        <w:tcW w:w="1656" w:type="dxa"/>
                        <w:vAlign w:val="center"/>
                        <w:hideMark/>
                      </w:tcPr>
                      <w:p w:rsidR="000117EA" w:rsidRPr="00B04D15" w:rsidRDefault="000117EA" w:rsidP="005A100A">
                        <w:r w:rsidRPr="00B04D15">
                          <w:t>не менее 6</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Тактовая частота </w:t>
                        </w:r>
                      </w:p>
                    </w:tc>
                    <w:tc>
                      <w:tcPr>
                        <w:tcW w:w="1656" w:type="dxa"/>
                        <w:vAlign w:val="center"/>
                        <w:hideMark/>
                      </w:tcPr>
                      <w:p w:rsidR="000117EA" w:rsidRPr="00B04D15" w:rsidRDefault="000117EA" w:rsidP="005A100A">
                        <w:r w:rsidRPr="00B04D15">
                          <w:t xml:space="preserve"> не нежие3700 МГц</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Разблокированный множитель </w:t>
                        </w:r>
                        <w:hyperlink r:id="rId44" w:history="1">
                          <w:r w:rsidRPr="00B04D15">
                            <w:rPr>
                              <w:color w:val="0000FF"/>
                              <w:u w:val="single"/>
                            </w:rPr>
                            <w:t> </w:t>
                          </w:r>
                        </w:hyperlink>
                      </w:p>
                    </w:tc>
                    <w:tc>
                      <w:tcPr>
                        <w:tcW w:w="1656" w:type="dxa"/>
                        <w:vAlign w:val="center"/>
                        <w:hideMark/>
                      </w:tcPr>
                      <w:p w:rsidR="000117EA" w:rsidRPr="00B04D15" w:rsidRDefault="000117EA" w:rsidP="005A100A">
                        <w:r w:rsidRPr="00B04D15">
                          <w:t>наличие</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Объем кэша L1 </w:t>
                        </w:r>
                        <w:hyperlink r:id="rId45" w:history="1">
                          <w:r w:rsidRPr="00B04D15">
                            <w:rPr>
                              <w:color w:val="0000FF"/>
                              <w:u w:val="single"/>
                            </w:rPr>
                            <w:t> </w:t>
                          </w:r>
                        </w:hyperlink>
                      </w:p>
                    </w:tc>
                    <w:tc>
                      <w:tcPr>
                        <w:tcW w:w="1656" w:type="dxa"/>
                        <w:vAlign w:val="center"/>
                        <w:hideMark/>
                      </w:tcPr>
                      <w:p w:rsidR="000117EA" w:rsidRPr="00B04D15" w:rsidRDefault="000117EA" w:rsidP="005A100A">
                        <w:r w:rsidRPr="00B04D15">
                          <w:t xml:space="preserve"> не ниже 64 Кб</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Объем кэша L3 </w:t>
                        </w:r>
                        <w:hyperlink r:id="rId46" w:history="1">
                          <w:r w:rsidRPr="00B04D15">
                            <w:rPr>
                              <w:color w:val="0000FF"/>
                              <w:u w:val="single"/>
                            </w:rPr>
                            <w:t> </w:t>
                          </w:r>
                        </w:hyperlink>
                      </w:p>
                    </w:tc>
                    <w:tc>
                      <w:tcPr>
                        <w:tcW w:w="1656" w:type="dxa"/>
                        <w:vAlign w:val="center"/>
                        <w:hideMark/>
                      </w:tcPr>
                      <w:p w:rsidR="000117EA" w:rsidRPr="00B04D15" w:rsidRDefault="000117EA" w:rsidP="005A100A">
                        <w:r w:rsidRPr="00B04D15">
                          <w:t xml:space="preserve"> не ниже 12 Мб</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Интегрированное графическое ядро </w:t>
                        </w:r>
                        <w:hyperlink r:id="rId47" w:history="1">
                          <w:r w:rsidRPr="00B04D15">
                            <w:rPr>
                              <w:color w:val="0000FF"/>
                              <w:u w:val="single"/>
                            </w:rPr>
                            <w:t> </w:t>
                          </w:r>
                        </w:hyperlink>
                      </w:p>
                    </w:tc>
                    <w:tc>
                      <w:tcPr>
                        <w:tcW w:w="1656" w:type="dxa"/>
                        <w:vAlign w:val="center"/>
                        <w:hideMark/>
                      </w:tcPr>
                      <w:p w:rsidR="000117EA" w:rsidRPr="00B04D15" w:rsidRDefault="000117EA" w:rsidP="005A100A">
                        <w:r w:rsidRPr="00B04D15">
                          <w:t>наличие</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Видеопроцессор </w:t>
                        </w:r>
                        <w:hyperlink r:id="rId48" w:history="1">
                          <w:r w:rsidRPr="00B04D15">
                            <w:rPr>
                              <w:color w:val="0000FF"/>
                              <w:u w:val="single"/>
                            </w:rPr>
                            <w:t> </w:t>
                          </w:r>
                        </w:hyperlink>
                      </w:p>
                    </w:tc>
                    <w:tc>
                      <w:tcPr>
                        <w:tcW w:w="1656" w:type="dxa"/>
                        <w:vAlign w:val="center"/>
                        <w:hideMark/>
                      </w:tcPr>
                      <w:p w:rsidR="000117EA" w:rsidRPr="00B04D15" w:rsidRDefault="000117EA" w:rsidP="005A100A">
                        <w:r w:rsidRPr="00B04D15">
                          <w:t>Intel UHD Graphics</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Технологический процесс </w:t>
                        </w:r>
                        <w:hyperlink r:id="rId49" w:history="1">
                          <w:r w:rsidRPr="00B04D15">
                            <w:rPr>
                              <w:color w:val="0000FF"/>
                              <w:u w:val="single"/>
                            </w:rPr>
                            <w:t> </w:t>
                          </w:r>
                        </w:hyperlink>
                      </w:p>
                    </w:tc>
                    <w:tc>
                      <w:tcPr>
                        <w:tcW w:w="1656" w:type="dxa"/>
                        <w:vAlign w:val="center"/>
                        <w:hideMark/>
                      </w:tcPr>
                      <w:p w:rsidR="000117EA" w:rsidRPr="00B04D15" w:rsidRDefault="000117EA" w:rsidP="005A100A">
                        <w:r w:rsidRPr="00B04D15">
                          <w:t>14 нм</w:t>
                        </w:r>
                      </w:p>
                    </w:tc>
                  </w:tr>
                  <w:tr w:rsidR="000117EA" w:rsidRPr="00B04D15" w:rsidTr="000117EA">
                    <w:trPr>
                      <w:tblCellSpacing w:w="15" w:type="dxa"/>
                    </w:trPr>
                    <w:tc>
                      <w:tcPr>
                        <w:tcW w:w="1435" w:type="dxa"/>
                        <w:vAlign w:val="center"/>
                        <w:hideMark/>
                      </w:tcPr>
                      <w:p w:rsidR="000117EA" w:rsidRPr="00B04D15" w:rsidRDefault="000117EA" w:rsidP="005A100A">
                        <w:r w:rsidRPr="00B04D15">
                          <w:t xml:space="preserve">Тепловыделение </w:t>
                        </w:r>
                        <w:hyperlink r:id="rId50" w:history="1">
                          <w:r w:rsidRPr="00B04D15">
                            <w:rPr>
                              <w:color w:val="0000FF"/>
                              <w:u w:val="single"/>
                            </w:rPr>
                            <w:t> </w:t>
                          </w:r>
                        </w:hyperlink>
                      </w:p>
                    </w:tc>
                    <w:tc>
                      <w:tcPr>
                        <w:tcW w:w="1656" w:type="dxa"/>
                        <w:vAlign w:val="center"/>
                        <w:hideMark/>
                      </w:tcPr>
                      <w:p w:rsidR="000117EA" w:rsidRPr="00B04D15" w:rsidRDefault="000117EA" w:rsidP="005A100A">
                        <w:r w:rsidRPr="00B04D15">
                          <w:t>не более 95 Вт</w:t>
                        </w:r>
                      </w:p>
                    </w:tc>
                  </w:tr>
                </w:tbl>
                <w:p w:rsidR="000117EA" w:rsidRPr="00B04D15" w:rsidRDefault="000117EA" w:rsidP="005A100A">
                  <w:pPr>
                    <w:jc w:val="center"/>
                    <w:rPr>
                      <w:lang w:val="en-US"/>
                    </w:rPr>
                  </w:pPr>
                </w:p>
              </w:tc>
              <w:tc>
                <w:tcPr>
                  <w:tcW w:w="850" w:type="dxa"/>
                  <w:vAlign w:val="center"/>
                </w:tcPr>
                <w:p w:rsidR="000117EA" w:rsidRPr="00B04D15" w:rsidRDefault="000117EA" w:rsidP="005A100A">
                  <w:pPr>
                    <w:jc w:val="center"/>
                  </w:pPr>
                  <w:r w:rsidRPr="00B04D15">
                    <w:t>1 шт.</w:t>
                  </w:r>
                </w:p>
              </w:tc>
            </w:tr>
            <w:tr w:rsidR="000117EA" w:rsidRPr="00B04D15" w:rsidTr="000117EA">
              <w:tc>
                <w:tcPr>
                  <w:tcW w:w="3431" w:type="dxa"/>
                  <w:vAlign w:val="center"/>
                </w:tcPr>
                <w:tbl>
                  <w:tblPr>
                    <w:tblW w:w="3352" w:type="dxa"/>
                    <w:tblCellSpacing w:w="15" w:type="dxa"/>
                    <w:tblLayout w:type="fixed"/>
                    <w:tblCellMar>
                      <w:top w:w="15" w:type="dxa"/>
                      <w:left w:w="15" w:type="dxa"/>
                      <w:bottom w:w="15" w:type="dxa"/>
                      <w:right w:w="15" w:type="dxa"/>
                    </w:tblCellMar>
                    <w:tblLook w:val="04A0"/>
                  </w:tblPr>
                  <w:tblGrid>
                    <w:gridCol w:w="1764"/>
                    <w:gridCol w:w="1588"/>
                  </w:tblGrid>
                  <w:tr w:rsidR="000117EA" w:rsidRPr="00B04D15" w:rsidTr="00B04D15">
                    <w:trPr>
                      <w:tblCellSpacing w:w="15" w:type="dxa"/>
                    </w:trPr>
                    <w:tc>
                      <w:tcPr>
                        <w:tcW w:w="1719" w:type="dxa"/>
                        <w:vAlign w:val="center"/>
                        <w:hideMark/>
                      </w:tcPr>
                      <w:p w:rsidR="000117EA" w:rsidRPr="00B04D15" w:rsidRDefault="000117EA" w:rsidP="005A100A">
                        <w:r w:rsidRPr="00B04D15">
                          <w:t>Тип оборудования</w:t>
                        </w:r>
                      </w:p>
                    </w:tc>
                    <w:tc>
                      <w:tcPr>
                        <w:tcW w:w="1543" w:type="dxa"/>
                        <w:vAlign w:val="center"/>
                        <w:hideMark/>
                      </w:tcPr>
                      <w:p w:rsidR="000117EA" w:rsidRPr="00B04D15" w:rsidRDefault="000117EA" w:rsidP="005A100A">
                        <w:r w:rsidRPr="00B04D15">
                          <w:t>Монитор</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Диагональ </w:t>
                        </w:r>
                        <w:hyperlink r:id="rId51" w:history="1">
                          <w:r w:rsidRPr="00B04D15">
                            <w:rPr>
                              <w:color w:val="0000FF"/>
                              <w:u w:val="single"/>
                            </w:rPr>
                            <w:t> </w:t>
                          </w:r>
                        </w:hyperlink>
                      </w:p>
                    </w:tc>
                    <w:tc>
                      <w:tcPr>
                        <w:tcW w:w="1543" w:type="dxa"/>
                        <w:vAlign w:val="center"/>
                        <w:hideMark/>
                      </w:tcPr>
                      <w:p w:rsidR="000117EA" w:rsidRPr="00B04D15" w:rsidRDefault="000117EA" w:rsidP="005A100A">
                        <w:r w:rsidRPr="00B04D15">
                          <w:t>не менее 27"</w:t>
                        </w:r>
                      </w:p>
                    </w:tc>
                  </w:tr>
                  <w:tr w:rsidR="000117EA" w:rsidRPr="00B04D15" w:rsidTr="00B04D15">
                    <w:trPr>
                      <w:tblCellSpacing w:w="15" w:type="dxa"/>
                    </w:trPr>
                    <w:tc>
                      <w:tcPr>
                        <w:tcW w:w="3292" w:type="dxa"/>
                        <w:gridSpan w:val="2"/>
                        <w:vAlign w:val="center"/>
                        <w:hideMark/>
                      </w:tcPr>
                      <w:p w:rsidR="000117EA" w:rsidRPr="00B04D15" w:rsidRDefault="000117EA" w:rsidP="005A100A">
                        <w:r w:rsidRPr="00B04D15">
                          <w:t>Матрица</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Тип матрицы </w:t>
                        </w:r>
                        <w:hyperlink r:id="rId52" w:history="1">
                          <w:r w:rsidRPr="00B04D15">
                            <w:rPr>
                              <w:color w:val="0000FF"/>
                              <w:u w:val="single"/>
                            </w:rPr>
                            <w:t> </w:t>
                          </w:r>
                        </w:hyperlink>
                      </w:p>
                    </w:tc>
                    <w:tc>
                      <w:tcPr>
                        <w:tcW w:w="1543" w:type="dxa"/>
                        <w:vAlign w:val="center"/>
                        <w:hideMark/>
                      </w:tcPr>
                      <w:p w:rsidR="000117EA" w:rsidRPr="00B04D15" w:rsidRDefault="000117EA" w:rsidP="005A100A">
                        <w:r w:rsidRPr="00B04D15">
                          <w:t xml:space="preserve">IPS </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LED подсветка </w:t>
                        </w:r>
                        <w:hyperlink r:id="rId53" w:history="1">
                          <w:r w:rsidRPr="00B04D15">
                            <w:rPr>
                              <w:color w:val="0000FF"/>
                              <w:u w:val="single"/>
                            </w:rPr>
                            <w:t> </w:t>
                          </w:r>
                        </w:hyperlink>
                      </w:p>
                    </w:tc>
                    <w:tc>
                      <w:tcPr>
                        <w:tcW w:w="1543" w:type="dxa"/>
                        <w:vAlign w:val="center"/>
                        <w:hideMark/>
                      </w:tcPr>
                      <w:p w:rsidR="000117EA" w:rsidRPr="00B04D15" w:rsidRDefault="000117EA" w:rsidP="005A100A">
                        <w:r w:rsidRPr="00B04D15">
                          <w:t>наличие</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Широкоформатный монитор </w:t>
                        </w:r>
                        <w:hyperlink r:id="rId54" w:history="1">
                          <w:r w:rsidRPr="00B04D15">
                            <w:rPr>
                              <w:color w:val="0000FF"/>
                              <w:u w:val="single"/>
                            </w:rPr>
                            <w:t> </w:t>
                          </w:r>
                        </w:hyperlink>
                      </w:p>
                    </w:tc>
                    <w:tc>
                      <w:tcPr>
                        <w:tcW w:w="1543" w:type="dxa"/>
                        <w:vAlign w:val="center"/>
                        <w:hideMark/>
                      </w:tcPr>
                      <w:p w:rsidR="000117EA" w:rsidRPr="00B04D15" w:rsidRDefault="000117EA" w:rsidP="005A100A">
                        <w:r w:rsidRPr="00B04D15">
                          <w:t>наличие</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Разрешение экрана </w:t>
                        </w:r>
                        <w:hyperlink r:id="rId55" w:history="1">
                          <w:r w:rsidRPr="00B04D15">
                            <w:rPr>
                              <w:color w:val="0000FF"/>
                              <w:u w:val="single"/>
                            </w:rPr>
                            <w:t> </w:t>
                          </w:r>
                        </w:hyperlink>
                      </w:p>
                    </w:tc>
                    <w:tc>
                      <w:tcPr>
                        <w:tcW w:w="1543" w:type="dxa"/>
                        <w:vAlign w:val="center"/>
                        <w:hideMark/>
                      </w:tcPr>
                      <w:p w:rsidR="000117EA" w:rsidRPr="00B04D15" w:rsidRDefault="000117EA" w:rsidP="005A100A">
                        <w:r w:rsidRPr="00B04D15">
                          <w:t>не менее 3840x2160 (16:9)</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Поверхность экрана </w:t>
                        </w:r>
                        <w:hyperlink r:id="rId56" w:history="1">
                          <w:r w:rsidRPr="00B04D15">
                            <w:rPr>
                              <w:color w:val="0000FF"/>
                              <w:u w:val="single"/>
                            </w:rPr>
                            <w:t> </w:t>
                          </w:r>
                        </w:hyperlink>
                      </w:p>
                    </w:tc>
                    <w:tc>
                      <w:tcPr>
                        <w:tcW w:w="1543" w:type="dxa"/>
                        <w:vAlign w:val="center"/>
                        <w:hideMark/>
                      </w:tcPr>
                      <w:p w:rsidR="000117EA" w:rsidRPr="00B04D15" w:rsidRDefault="000117EA" w:rsidP="005A100A">
                        <w:r w:rsidRPr="00B04D15">
                          <w:t>матовая</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Яркость </w:t>
                        </w:r>
                        <w:hyperlink r:id="rId57" w:history="1">
                          <w:r w:rsidRPr="00B04D15">
                            <w:rPr>
                              <w:color w:val="0000FF"/>
                              <w:u w:val="single"/>
                            </w:rPr>
                            <w:t> </w:t>
                          </w:r>
                        </w:hyperlink>
                      </w:p>
                    </w:tc>
                    <w:tc>
                      <w:tcPr>
                        <w:tcW w:w="1543" w:type="dxa"/>
                        <w:vAlign w:val="center"/>
                        <w:hideMark/>
                      </w:tcPr>
                      <w:p w:rsidR="000117EA" w:rsidRPr="00B04D15" w:rsidRDefault="000117EA" w:rsidP="005A100A">
                        <w:r w:rsidRPr="00B04D15">
                          <w:t>не менее 250 кд/м</w:t>
                        </w:r>
                        <w:r w:rsidRPr="00B04D15">
                          <w:rPr>
                            <w:vertAlign w:val="superscript"/>
                          </w:rPr>
                          <w:t>2</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Контрастность </w:t>
                        </w:r>
                        <w:hyperlink r:id="rId58" w:history="1">
                          <w:r w:rsidRPr="00B04D15">
                            <w:rPr>
                              <w:color w:val="0000FF"/>
                              <w:u w:val="single"/>
                            </w:rPr>
                            <w:t> </w:t>
                          </w:r>
                        </w:hyperlink>
                      </w:p>
                    </w:tc>
                    <w:tc>
                      <w:tcPr>
                        <w:tcW w:w="1543" w:type="dxa"/>
                        <w:vAlign w:val="center"/>
                        <w:hideMark/>
                      </w:tcPr>
                      <w:p w:rsidR="000117EA" w:rsidRPr="00B04D15" w:rsidRDefault="000117EA" w:rsidP="005A100A">
                        <w:r w:rsidRPr="00B04D15">
                          <w:t xml:space="preserve"> не менее 1000:1</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Динамическая контрастность </w:t>
                        </w:r>
                        <w:hyperlink r:id="rId59" w:history="1">
                          <w:r w:rsidRPr="00B04D15">
                            <w:rPr>
                              <w:color w:val="0000FF"/>
                              <w:u w:val="single"/>
                            </w:rPr>
                            <w:t> </w:t>
                          </w:r>
                        </w:hyperlink>
                      </w:p>
                    </w:tc>
                    <w:tc>
                      <w:tcPr>
                        <w:tcW w:w="1543" w:type="dxa"/>
                        <w:vAlign w:val="center"/>
                        <w:hideMark/>
                      </w:tcPr>
                      <w:p w:rsidR="000117EA" w:rsidRPr="00B04D15" w:rsidRDefault="000117EA" w:rsidP="005A100A">
                        <w:r w:rsidRPr="00B04D15">
                          <w:t>не менее 5000000:1</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Время отклика </w:t>
                        </w:r>
                        <w:hyperlink r:id="rId60" w:history="1">
                          <w:r w:rsidRPr="00B04D15">
                            <w:rPr>
                              <w:color w:val="0000FF"/>
                              <w:u w:val="single"/>
                            </w:rPr>
                            <w:t> </w:t>
                          </w:r>
                        </w:hyperlink>
                      </w:p>
                    </w:tc>
                    <w:tc>
                      <w:tcPr>
                        <w:tcW w:w="1543" w:type="dxa"/>
                        <w:vAlign w:val="center"/>
                        <w:hideMark/>
                      </w:tcPr>
                      <w:p w:rsidR="000117EA" w:rsidRPr="00B04D15" w:rsidRDefault="000117EA" w:rsidP="005A100A">
                        <w:r w:rsidRPr="00B04D15">
                          <w:t>не более 5 мс</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Угол обзора по горизонтали </w:t>
                        </w:r>
                        <w:hyperlink r:id="rId61" w:history="1">
                          <w:r w:rsidRPr="00B04D15">
                            <w:rPr>
                              <w:color w:val="0000FF"/>
                              <w:u w:val="single"/>
                            </w:rPr>
                            <w:t> </w:t>
                          </w:r>
                        </w:hyperlink>
                      </w:p>
                    </w:tc>
                    <w:tc>
                      <w:tcPr>
                        <w:tcW w:w="1543" w:type="dxa"/>
                        <w:vAlign w:val="center"/>
                        <w:hideMark/>
                      </w:tcPr>
                      <w:p w:rsidR="000117EA" w:rsidRPr="00B04D15" w:rsidRDefault="000117EA" w:rsidP="005A100A">
                        <w:r w:rsidRPr="00B04D15">
                          <w:t>178°</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Угол обзора по вертикали </w:t>
                        </w:r>
                        <w:hyperlink r:id="rId62" w:history="1">
                          <w:r w:rsidRPr="00B04D15">
                            <w:rPr>
                              <w:color w:val="0000FF"/>
                              <w:u w:val="single"/>
                            </w:rPr>
                            <w:t> </w:t>
                          </w:r>
                        </w:hyperlink>
                      </w:p>
                    </w:tc>
                    <w:tc>
                      <w:tcPr>
                        <w:tcW w:w="1543" w:type="dxa"/>
                        <w:vAlign w:val="center"/>
                        <w:hideMark/>
                      </w:tcPr>
                      <w:p w:rsidR="000117EA" w:rsidRPr="00B04D15" w:rsidRDefault="000117EA" w:rsidP="005A100A">
                        <w:r w:rsidRPr="00B04D15">
                          <w:t>178°</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Максимальное количество цветов </w:t>
                        </w:r>
                      </w:p>
                    </w:tc>
                    <w:tc>
                      <w:tcPr>
                        <w:tcW w:w="1543" w:type="dxa"/>
                        <w:vAlign w:val="center"/>
                        <w:hideMark/>
                      </w:tcPr>
                      <w:p w:rsidR="000117EA" w:rsidRPr="00B04D15" w:rsidRDefault="000117EA" w:rsidP="005A100A">
                        <w:r w:rsidRPr="00B04D15">
                          <w:t>1.07 млрд.</w:t>
                        </w:r>
                      </w:p>
                    </w:tc>
                  </w:tr>
                  <w:tr w:rsidR="000117EA" w:rsidRPr="00B04D15" w:rsidTr="00B04D15">
                    <w:trPr>
                      <w:tblCellSpacing w:w="15" w:type="dxa"/>
                    </w:trPr>
                    <w:tc>
                      <w:tcPr>
                        <w:tcW w:w="3292" w:type="dxa"/>
                        <w:gridSpan w:val="2"/>
                        <w:vAlign w:val="center"/>
                        <w:hideMark/>
                      </w:tcPr>
                      <w:p w:rsidR="000117EA" w:rsidRPr="00B04D15" w:rsidRDefault="000117EA" w:rsidP="005A100A">
                        <w:r w:rsidRPr="00B04D15">
                          <w:t>Особенности</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Переменная частота обновления </w:t>
                        </w:r>
                      </w:p>
                    </w:tc>
                    <w:tc>
                      <w:tcPr>
                        <w:tcW w:w="1543" w:type="dxa"/>
                        <w:vAlign w:val="center"/>
                        <w:hideMark/>
                      </w:tcPr>
                      <w:p w:rsidR="000117EA" w:rsidRPr="00B04D15" w:rsidRDefault="000117EA" w:rsidP="005A100A">
                        <w:r w:rsidRPr="00B04D15">
                          <w:t>AMD FreeSync</w:t>
                        </w:r>
                      </w:p>
                    </w:tc>
                  </w:tr>
                  <w:tr w:rsidR="000117EA" w:rsidRPr="00B04D15" w:rsidTr="00B04D15">
                    <w:trPr>
                      <w:tblCellSpacing w:w="15" w:type="dxa"/>
                    </w:trPr>
                    <w:tc>
                      <w:tcPr>
                        <w:tcW w:w="1719" w:type="dxa"/>
                        <w:vAlign w:val="center"/>
                        <w:hideMark/>
                      </w:tcPr>
                      <w:p w:rsidR="000117EA" w:rsidRPr="00B04D15" w:rsidRDefault="000117EA" w:rsidP="005A100A">
                        <w:r w:rsidRPr="00B04D15">
                          <w:t>Технология Flicker-free</w:t>
                        </w:r>
                      </w:p>
                    </w:tc>
                    <w:tc>
                      <w:tcPr>
                        <w:tcW w:w="1543" w:type="dxa"/>
                        <w:vAlign w:val="center"/>
                        <w:hideMark/>
                      </w:tcPr>
                      <w:p w:rsidR="000117EA" w:rsidRPr="00B04D15" w:rsidRDefault="000117EA" w:rsidP="005A100A">
                        <w:r w:rsidRPr="00B04D15">
                          <w:t>да</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Крепление на стену (VESA) </w:t>
                        </w:r>
                        <w:hyperlink r:id="rId63" w:history="1">
                          <w:r w:rsidRPr="00B04D15">
                            <w:rPr>
                              <w:color w:val="0000FF"/>
                              <w:u w:val="single"/>
                            </w:rPr>
                            <w:t> </w:t>
                          </w:r>
                        </w:hyperlink>
                      </w:p>
                    </w:tc>
                    <w:tc>
                      <w:tcPr>
                        <w:tcW w:w="1543" w:type="dxa"/>
                        <w:vAlign w:val="center"/>
                        <w:hideMark/>
                      </w:tcPr>
                      <w:p w:rsidR="000117EA" w:rsidRPr="00B04D15" w:rsidRDefault="000117EA" w:rsidP="005A100A">
                        <w:r w:rsidRPr="00B04D15">
                          <w:t>наличие 100 x 100 мм</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Разъёмы </w:t>
                        </w:r>
                        <w:hyperlink r:id="rId64" w:history="1">
                          <w:r w:rsidRPr="00B04D15">
                            <w:rPr>
                              <w:color w:val="0000FF"/>
                              <w:u w:val="single"/>
                            </w:rPr>
                            <w:t> </w:t>
                          </w:r>
                        </w:hyperlink>
                      </w:p>
                    </w:tc>
                    <w:tc>
                      <w:tcPr>
                        <w:tcW w:w="1543" w:type="dxa"/>
                        <w:vAlign w:val="center"/>
                        <w:hideMark/>
                      </w:tcPr>
                      <w:p w:rsidR="000117EA" w:rsidRPr="00B04D15" w:rsidRDefault="000117EA" w:rsidP="005A100A">
                        <w:r w:rsidRPr="00B04D15">
                          <w:t>2 x HDMI, DisplayPort, выход на наушники</w:t>
                        </w:r>
                      </w:p>
                    </w:tc>
                  </w:tr>
                  <w:tr w:rsidR="000117EA" w:rsidRPr="00B04D15" w:rsidTr="00B04D15">
                    <w:trPr>
                      <w:tblCellSpacing w:w="15" w:type="dxa"/>
                    </w:trPr>
                    <w:tc>
                      <w:tcPr>
                        <w:tcW w:w="3292" w:type="dxa"/>
                        <w:gridSpan w:val="2"/>
                        <w:vAlign w:val="center"/>
                        <w:hideMark/>
                      </w:tcPr>
                      <w:p w:rsidR="000117EA" w:rsidRPr="00B04D15" w:rsidRDefault="000117EA" w:rsidP="005A100A">
                        <w:r w:rsidRPr="00B04D15">
                          <w:t>Питание</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Блок питания </w:t>
                        </w:r>
                        <w:hyperlink r:id="rId65" w:history="1">
                          <w:r w:rsidRPr="00B04D15">
                            <w:rPr>
                              <w:color w:val="0000FF"/>
                              <w:u w:val="single"/>
                            </w:rPr>
                            <w:t> </w:t>
                          </w:r>
                        </w:hyperlink>
                      </w:p>
                    </w:tc>
                    <w:tc>
                      <w:tcPr>
                        <w:tcW w:w="1543" w:type="dxa"/>
                        <w:vAlign w:val="center"/>
                        <w:hideMark/>
                      </w:tcPr>
                      <w:p w:rsidR="000117EA" w:rsidRPr="00B04D15" w:rsidRDefault="000117EA" w:rsidP="005A100A">
                        <w:r w:rsidRPr="00B04D15">
                          <w:t>встроенный</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Потребляемая мощность при работе </w:t>
                        </w:r>
                        <w:hyperlink r:id="rId66" w:history="1">
                          <w:r w:rsidRPr="00B04D15">
                            <w:rPr>
                              <w:color w:val="0000FF"/>
                              <w:u w:val="single"/>
                            </w:rPr>
                            <w:t> </w:t>
                          </w:r>
                        </w:hyperlink>
                      </w:p>
                    </w:tc>
                    <w:tc>
                      <w:tcPr>
                        <w:tcW w:w="1543" w:type="dxa"/>
                        <w:vAlign w:val="center"/>
                        <w:hideMark/>
                      </w:tcPr>
                      <w:p w:rsidR="000117EA" w:rsidRPr="00B04D15" w:rsidRDefault="000117EA" w:rsidP="005A100A">
                        <w:r w:rsidRPr="00B04D15">
                          <w:t>не более 40 Вт</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Функциональность </w:t>
                        </w:r>
                      </w:p>
                    </w:tc>
                    <w:tc>
                      <w:tcPr>
                        <w:tcW w:w="1543" w:type="dxa"/>
                        <w:vAlign w:val="center"/>
                        <w:hideMark/>
                      </w:tcPr>
                      <w:p w:rsidR="000117EA" w:rsidRPr="00B04D15" w:rsidRDefault="000117EA" w:rsidP="005A100A">
                        <w:pPr>
                          <w:rPr>
                            <w:lang w:val="en-US"/>
                          </w:rPr>
                        </w:pPr>
                        <w:r w:rsidRPr="00B04D15">
                          <w:rPr>
                            <w:lang w:val="en-US"/>
                          </w:rPr>
                          <w:t>Black Stabilizer, Dynamic Action Sync, Game Mode, 4-Scren Split</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Стандарты </w:t>
                        </w:r>
                      </w:p>
                    </w:tc>
                    <w:tc>
                      <w:tcPr>
                        <w:tcW w:w="1543" w:type="dxa"/>
                        <w:vAlign w:val="center"/>
                        <w:hideMark/>
                      </w:tcPr>
                      <w:p w:rsidR="000117EA" w:rsidRPr="00B04D15" w:rsidRDefault="000117EA" w:rsidP="005A100A">
                        <w:r w:rsidRPr="00B04D15">
                          <w:t>EPEAT Gold</w:t>
                        </w:r>
                      </w:p>
                    </w:tc>
                  </w:tr>
                  <w:tr w:rsidR="000117EA" w:rsidRPr="00B04D15" w:rsidTr="00B04D15">
                    <w:trPr>
                      <w:tblCellSpacing w:w="15" w:type="dxa"/>
                    </w:trPr>
                    <w:tc>
                      <w:tcPr>
                        <w:tcW w:w="1719" w:type="dxa"/>
                        <w:vAlign w:val="center"/>
                        <w:hideMark/>
                      </w:tcPr>
                      <w:p w:rsidR="000117EA" w:rsidRPr="00B04D15" w:rsidRDefault="000117EA" w:rsidP="005A100A">
                        <w:r w:rsidRPr="00B04D15">
                          <w:t xml:space="preserve">Цвет </w:t>
                        </w:r>
                        <w:hyperlink r:id="rId67" w:history="1">
                          <w:r w:rsidRPr="00B04D15">
                            <w:rPr>
                              <w:color w:val="0000FF"/>
                              <w:u w:val="single"/>
                            </w:rPr>
                            <w:t> </w:t>
                          </w:r>
                        </w:hyperlink>
                      </w:p>
                    </w:tc>
                    <w:tc>
                      <w:tcPr>
                        <w:tcW w:w="1543" w:type="dxa"/>
                        <w:vAlign w:val="center"/>
                        <w:hideMark/>
                      </w:tcPr>
                      <w:p w:rsidR="000117EA" w:rsidRPr="00B04D15" w:rsidRDefault="000117EA" w:rsidP="005A100A">
                        <w:r w:rsidRPr="00B04D15">
                          <w:t>чёрный</w:t>
                        </w:r>
                      </w:p>
                    </w:tc>
                  </w:tr>
                  <w:tr w:rsidR="000117EA" w:rsidRPr="00B04D15" w:rsidTr="00B04D15">
                    <w:trPr>
                      <w:tblCellSpacing w:w="15" w:type="dxa"/>
                    </w:trPr>
                    <w:tc>
                      <w:tcPr>
                        <w:tcW w:w="1719" w:type="dxa"/>
                        <w:vAlign w:val="center"/>
                        <w:hideMark/>
                      </w:tcPr>
                      <w:p w:rsidR="000117EA" w:rsidRPr="00B04D15" w:rsidRDefault="000117EA" w:rsidP="005A100A">
                        <w:r w:rsidRPr="00B04D15">
                          <w:t>Размеры (ШхВхГ)</w:t>
                        </w:r>
                      </w:p>
                    </w:tc>
                    <w:tc>
                      <w:tcPr>
                        <w:tcW w:w="1543" w:type="dxa"/>
                        <w:vAlign w:val="center"/>
                        <w:hideMark/>
                      </w:tcPr>
                      <w:p w:rsidR="000117EA" w:rsidRPr="00B04D15" w:rsidRDefault="000117EA" w:rsidP="005A100A">
                        <w:r w:rsidRPr="00B04D15">
                          <w:t>не более 633 x 464 x 202 мм</w:t>
                        </w:r>
                      </w:p>
                    </w:tc>
                  </w:tr>
                  <w:tr w:rsidR="000117EA" w:rsidRPr="00B04D15" w:rsidTr="00B04D15">
                    <w:trPr>
                      <w:tblCellSpacing w:w="15" w:type="dxa"/>
                    </w:trPr>
                    <w:tc>
                      <w:tcPr>
                        <w:tcW w:w="1719" w:type="dxa"/>
                        <w:vAlign w:val="center"/>
                        <w:hideMark/>
                      </w:tcPr>
                      <w:p w:rsidR="000117EA" w:rsidRPr="00B04D15" w:rsidRDefault="000117EA" w:rsidP="005A100A">
                        <w:r w:rsidRPr="00B04D15">
                          <w:t>Вес</w:t>
                        </w:r>
                      </w:p>
                    </w:tc>
                    <w:tc>
                      <w:tcPr>
                        <w:tcW w:w="1543" w:type="dxa"/>
                        <w:vAlign w:val="center"/>
                        <w:hideMark/>
                      </w:tcPr>
                      <w:p w:rsidR="000117EA" w:rsidRPr="00B04D15" w:rsidRDefault="000117EA" w:rsidP="005A100A">
                        <w:r w:rsidRPr="00B04D15">
                          <w:t>не более 6 кг</w:t>
                        </w:r>
                      </w:p>
                    </w:tc>
                  </w:tr>
                </w:tbl>
                <w:p w:rsidR="000117EA" w:rsidRPr="00B04D15" w:rsidRDefault="000117EA" w:rsidP="005A100A"/>
              </w:tc>
              <w:tc>
                <w:tcPr>
                  <w:tcW w:w="850" w:type="dxa"/>
                  <w:vAlign w:val="center"/>
                </w:tcPr>
                <w:p w:rsidR="000117EA" w:rsidRPr="00B04D15" w:rsidRDefault="000117EA" w:rsidP="005A100A">
                  <w:pPr>
                    <w:jc w:val="center"/>
                  </w:pPr>
                  <w:r w:rsidRPr="00B04D15">
                    <w:t>1 шт.</w:t>
                  </w:r>
                </w:p>
              </w:tc>
            </w:tr>
          </w:tbl>
          <w:p w:rsidR="008132B8" w:rsidRPr="00B04D15" w:rsidRDefault="008132B8" w:rsidP="008132B8">
            <w:pPr>
              <w:shd w:val="clear" w:color="auto" w:fill="FFFFFF"/>
              <w:rPr>
                <w:u w:val="single"/>
              </w:rPr>
            </w:pPr>
            <w:r w:rsidRPr="00B04D15">
              <w:rPr>
                <w:u w:val="single"/>
              </w:rPr>
              <w:t xml:space="preserve"> В комплекте должна быть мышь и клавиатура, а так же установлено лицензионное программное обеспечение с бессрочной лицензией </w:t>
            </w:r>
          </w:p>
          <w:p w:rsidR="008132B8" w:rsidRPr="00B04D15" w:rsidRDefault="008132B8" w:rsidP="008132B8">
            <w:pPr>
              <w:shd w:val="clear" w:color="auto" w:fill="FFFFFF"/>
              <w:rPr>
                <w:rFonts w:ascii="Arial" w:hAnsi="Arial" w:cs="Arial"/>
                <w:color w:val="000000"/>
              </w:rPr>
            </w:pPr>
            <w:r w:rsidRPr="00B04D15">
              <w:rPr>
                <w:u w:val="single"/>
              </w:rPr>
              <w:t>(</w:t>
            </w:r>
            <w:r w:rsidRPr="00B04D15">
              <w:rPr>
                <w:rFonts w:ascii="Arial" w:hAnsi="Arial" w:cs="Arial"/>
                <w:color w:val="000000"/>
              </w:rPr>
              <w:t>операционная система windows</w:t>
            </w:r>
          </w:p>
          <w:p w:rsidR="008132B8" w:rsidRPr="00B04D15" w:rsidRDefault="008132B8" w:rsidP="008132B8">
            <w:pPr>
              <w:shd w:val="clear" w:color="auto" w:fill="FFFFFF"/>
              <w:rPr>
                <w:rFonts w:ascii="Arial" w:hAnsi="Arial" w:cs="Arial"/>
                <w:color w:val="000000"/>
              </w:rPr>
            </w:pPr>
            <w:r w:rsidRPr="008132B8">
              <w:rPr>
                <w:rFonts w:ascii="Arial" w:hAnsi="Arial" w:cs="Arial"/>
                <w:color w:val="000000"/>
              </w:rPr>
              <w:t>adobe premier</w:t>
            </w:r>
            <w:r w:rsidRPr="00B04D15">
              <w:rPr>
                <w:rFonts w:ascii="Arial" w:hAnsi="Arial" w:cs="Arial"/>
                <w:color w:val="000000"/>
              </w:rPr>
              <w:t>)</w:t>
            </w:r>
          </w:p>
          <w:p w:rsidR="008132B8" w:rsidRPr="00B04D15" w:rsidRDefault="008132B8" w:rsidP="008132B8">
            <w:pPr>
              <w:shd w:val="clear" w:color="auto" w:fill="FFFFFF"/>
              <w:rPr>
                <w:rFonts w:ascii="Arial" w:hAnsi="Arial" w:cs="Arial"/>
                <w:color w:val="000000"/>
              </w:rPr>
            </w:pPr>
          </w:p>
          <w:p w:rsidR="008D3F24" w:rsidRPr="00B04D15" w:rsidRDefault="008D3F24" w:rsidP="00A40AFC">
            <w:pPr>
              <w:tabs>
                <w:tab w:val="left" w:pos="3443"/>
              </w:tabs>
              <w:rPr>
                <w:sz w:val="23"/>
                <w:szCs w:val="23"/>
                <w:u w:val="single"/>
              </w:rPr>
            </w:pPr>
            <w:r w:rsidRPr="00B04D15">
              <w:rPr>
                <w:sz w:val="23"/>
                <w:szCs w:val="23"/>
                <w:u w:val="single"/>
              </w:rPr>
              <w:t>или эквивалент с соответствующими характеристиками</w:t>
            </w:r>
          </w:p>
          <w:p w:rsidR="008D3F24" w:rsidRPr="00B04D15" w:rsidRDefault="008D3F24" w:rsidP="00A40AFC">
            <w:pPr>
              <w:tabs>
                <w:tab w:val="left" w:pos="3443"/>
              </w:tabs>
              <w:rPr>
                <w:sz w:val="23"/>
                <w:szCs w:val="23"/>
              </w:rPr>
            </w:pPr>
          </w:p>
          <w:p w:rsidR="002D281A" w:rsidRPr="00B04D15" w:rsidRDefault="002D281A" w:rsidP="00A40AFC">
            <w:pPr>
              <w:tabs>
                <w:tab w:val="left" w:pos="3443"/>
              </w:tabs>
              <w:rPr>
                <w:sz w:val="23"/>
                <w:szCs w:val="23"/>
              </w:rPr>
            </w:pPr>
            <w:r w:rsidRPr="00B04D15">
              <w:rPr>
                <w:sz w:val="23"/>
                <w:szCs w:val="23"/>
              </w:rPr>
              <w:t>Участники закупки могу</w:t>
            </w:r>
            <w:r w:rsidR="00563B87" w:rsidRPr="00B04D15">
              <w:rPr>
                <w:sz w:val="23"/>
                <w:szCs w:val="23"/>
              </w:rPr>
              <w:t>т предложить оборудование с улуч</w:t>
            </w:r>
            <w:r w:rsidRPr="00B04D15">
              <w:rPr>
                <w:sz w:val="23"/>
                <w:szCs w:val="23"/>
              </w:rPr>
              <w:t>шенными характеристиками.</w:t>
            </w:r>
          </w:p>
          <w:p w:rsidR="002D281A" w:rsidRPr="00B04D15" w:rsidRDefault="002D281A" w:rsidP="00A40AFC">
            <w:pPr>
              <w:tabs>
                <w:tab w:val="left" w:pos="3443"/>
              </w:tabs>
              <w:rPr>
                <w:sz w:val="23"/>
                <w:szCs w:val="23"/>
              </w:rPr>
            </w:pPr>
          </w:p>
          <w:p w:rsidR="008D3F24" w:rsidRPr="00B04D15" w:rsidRDefault="008D3F24" w:rsidP="00A40AFC">
            <w:pPr>
              <w:tabs>
                <w:tab w:val="left" w:pos="3443"/>
              </w:tabs>
              <w:rPr>
                <w:sz w:val="23"/>
                <w:szCs w:val="23"/>
              </w:rPr>
            </w:pPr>
            <w:r w:rsidRPr="00B04D15">
              <w:rPr>
                <w:sz w:val="23"/>
                <w:szCs w:val="23"/>
              </w:rPr>
              <w:t>Поставщик должен обеспечить доставку оборудования, монтаж и пусконаладочные работы.</w:t>
            </w:r>
          </w:p>
          <w:p w:rsidR="00B23A61" w:rsidRPr="00B04D15" w:rsidRDefault="008D3F24" w:rsidP="00A40AFC">
            <w:pPr>
              <w:tabs>
                <w:tab w:val="left" w:pos="3443"/>
              </w:tabs>
            </w:pPr>
            <w:r w:rsidRPr="00B04D15">
              <w:rPr>
                <w:sz w:val="23"/>
                <w:szCs w:val="23"/>
              </w:rPr>
              <w:t>Гарантийный срок на поставляемое оборудование</w:t>
            </w:r>
            <w:r w:rsidR="008132B8" w:rsidRPr="00B04D15">
              <w:rPr>
                <w:sz w:val="23"/>
                <w:szCs w:val="23"/>
              </w:rPr>
              <w:t xml:space="preserve"> не менее 12 месяцев</w:t>
            </w:r>
          </w:p>
        </w:tc>
        <w:tc>
          <w:tcPr>
            <w:tcW w:w="954" w:type="dxa"/>
            <w:tcBorders>
              <w:top w:val="single" w:sz="4" w:space="0" w:color="auto"/>
              <w:left w:val="single" w:sz="4" w:space="0" w:color="auto"/>
              <w:bottom w:val="single" w:sz="4" w:space="0" w:color="auto"/>
              <w:right w:val="single" w:sz="4" w:space="0" w:color="auto"/>
            </w:tcBorders>
          </w:tcPr>
          <w:p w:rsidR="00B23A61" w:rsidRPr="00745DBE" w:rsidRDefault="00F83F57" w:rsidP="00B71E27">
            <w:pPr>
              <w:tabs>
                <w:tab w:val="left" w:pos="3443"/>
              </w:tabs>
              <w:jc w:val="center"/>
              <w:rPr>
                <w:sz w:val="24"/>
                <w:szCs w:val="24"/>
              </w:rPr>
            </w:pPr>
            <w:r>
              <w:rPr>
                <w:sz w:val="24"/>
                <w:szCs w:val="24"/>
              </w:rPr>
              <w:t>Шт.</w:t>
            </w:r>
          </w:p>
        </w:tc>
        <w:tc>
          <w:tcPr>
            <w:tcW w:w="1120" w:type="dxa"/>
            <w:tcBorders>
              <w:top w:val="single" w:sz="4" w:space="0" w:color="auto"/>
              <w:left w:val="single" w:sz="4" w:space="0" w:color="auto"/>
              <w:bottom w:val="single" w:sz="4" w:space="0" w:color="auto"/>
              <w:right w:val="single" w:sz="4" w:space="0" w:color="auto"/>
            </w:tcBorders>
          </w:tcPr>
          <w:p w:rsidR="00B23A61" w:rsidRPr="00745DBE" w:rsidRDefault="00152DD0" w:rsidP="00B71E27">
            <w:pPr>
              <w:tabs>
                <w:tab w:val="left" w:pos="3443"/>
              </w:tabs>
              <w:jc w:val="center"/>
              <w:rPr>
                <w:sz w:val="24"/>
                <w:szCs w:val="24"/>
              </w:rPr>
            </w:pPr>
            <w:r>
              <w:rPr>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40AFC" w:rsidRDefault="00A40AFC">
      <w:pPr>
        <w:spacing w:after="200" w:line="276" w:lineRule="auto"/>
        <w:rPr>
          <w:b/>
          <w:sz w:val="23"/>
          <w:szCs w:val="23"/>
          <w:lang w:eastAsia="en-US"/>
        </w:rPr>
      </w:pPr>
      <w:r>
        <w:rPr>
          <w:b/>
          <w:sz w:val="23"/>
          <w:szCs w:val="23"/>
          <w:lang w:eastAsia="en-US"/>
        </w:rPr>
        <w:br w:type="page"/>
      </w:r>
    </w:p>
    <w:p w:rsidR="00F16206" w:rsidRDefault="00F16206"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824279">
        <w:rPr>
          <w:b/>
          <w:sz w:val="23"/>
          <w:szCs w:val="23"/>
        </w:rPr>
        <w:t>приобретение видео</w:t>
      </w:r>
      <w:r w:rsidR="00D0363E">
        <w:rPr>
          <w:b/>
          <w:sz w:val="23"/>
          <w:szCs w:val="23"/>
        </w:rPr>
        <w:t>студии</w:t>
      </w:r>
      <w:r w:rsidRPr="009C701A">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w:t>
      </w:r>
      <w:r w:rsidR="008608D0">
        <w:rPr>
          <w:sz w:val="23"/>
          <w:szCs w:val="23"/>
        </w:rPr>
        <w:t>до 2</w:t>
      </w:r>
      <w:r w:rsidR="00563B87">
        <w:rPr>
          <w:sz w:val="23"/>
          <w:szCs w:val="23"/>
        </w:rPr>
        <w:t>8</w:t>
      </w:r>
      <w:r w:rsidR="008608D0">
        <w:rPr>
          <w:sz w:val="23"/>
          <w:szCs w:val="23"/>
        </w:rPr>
        <w:t>.12.2018</w:t>
      </w:r>
      <w:r w:rsidRPr="009C701A">
        <w:rPr>
          <w:sz w:val="23"/>
          <w:szCs w:val="23"/>
        </w:rPr>
        <w:t xml:space="preserve">.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a"/>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a"/>
        <w:ind w:firstLine="709"/>
        <w:jc w:val="both"/>
        <w:rPr>
          <w:i/>
          <w:sz w:val="23"/>
          <w:szCs w:val="23"/>
        </w:rPr>
      </w:pPr>
      <w:r w:rsidRPr="009C701A">
        <w:rPr>
          <w:i/>
          <w:sz w:val="23"/>
          <w:szCs w:val="23"/>
        </w:rPr>
        <w:t>Получатель</w:t>
      </w:r>
    </w:p>
    <w:p w:rsidR="00AA66A0" w:rsidRPr="009C701A" w:rsidRDefault="00AA66A0" w:rsidP="00AA66A0">
      <w:pPr>
        <w:pStyle w:val="affa"/>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a"/>
        <w:ind w:firstLine="709"/>
        <w:jc w:val="both"/>
        <w:rPr>
          <w:i/>
          <w:sz w:val="23"/>
          <w:szCs w:val="23"/>
        </w:rPr>
      </w:pPr>
      <w:r w:rsidRPr="009C701A">
        <w:rPr>
          <w:i/>
          <w:sz w:val="23"/>
          <w:szCs w:val="23"/>
        </w:rPr>
        <w:t>ИНН/КПП 7605009065/760401001</w:t>
      </w:r>
    </w:p>
    <w:p w:rsidR="00AA66A0" w:rsidRPr="009C701A" w:rsidRDefault="00AA66A0" w:rsidP="00AA66A0">
      <w:pPr>
        <w:pStyle w:val="affa"/>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a"/>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a"/>
        <w:ind w:firstLine="709"/>
        <w:jc w:val="both"/>
        <w:rPr>
          <w:i/>
          <w:sz w:val="23"/>
          <w:szCs w:val="23"/>
        </w:rPr>
      </w:pPr>
      <w:r w:rsidRPr="009C701A">
        <w:rPr>
          <w:i/>
          <w:sz w:val="23"/>
          <w:szCs w:val="23"/>
        </w:rPr>
        <w:t>р/с  40601810378883000001</w:t>
      </w:r>
    </w:p>
    <w:p w:rsidR="00AA66A0" w:rsidRPr="009C701A" w:rsidRDefault="00AA66A0" w:rsidP="00AA66A0">
      <w:pPr>
        <w:pStyle w:val="affa"/>
        <w:ind w:firstLine="709"/>
        <w:jc w:val="both"/>
        <w:rPr>
          <w:i/>
          <w:sz w:val="23"/>
          <w:szCs w:val="23"/>
        </w:rPr>
      </w:pPr>
      <w:r w:rsidRPr="009C701A">
        <w:rPr>
          <w:i/>
          <w:sz w:val="23"/>
          <w:szCs w:val="23"/>
        </w:rPr>
        <w:t>БИК 047888001</w:t>
      </w:r>
    </w:p>
    <w:p w:rsidR="00837E6A" w:rsidRPr="009C701A" w:rsidRDefault="00837E6A" w:rsidP="00837E6A">
      <w:pPr>
        <w:pStyle w:val="affa"/>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a"/>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D0363E">
        <w:rPr>
          <w:color w:val="000000"/>
          <w:sz w:val="23"/>
          <w:szCs w:val="23"/>
        </w:rPr>
        <w:t>179157,54</w:t>
      </w:r>
      <w:r w:rsidR="00837E6A" w:rsidRPr="009C701A">
        <w:rPr>
          <w:color w:val="000000"/>
          <w:sz w:val="23"/>
          <w:szCs w:val="23"/>
        </w:rPr>
        <w:t xml:space="preserve"> руб. (</w:t>
      </w:r>
      <w:r w:rsidR="00824279">
        <w:rPr>
          <w:color w:val="000000"/>
          <w:sz w:val="23"/>
          <w:szCs w:val="23"/>
        </w:rPr>
        <w:t xml:space="preserve">Сто </w:t>
      </w:r>
      <w:r w:rsidR="00D0363E">
        <w:rPr>
          <w:color w:val="000000"/>
          <w:sz w:val="23"/>
          <w:szCs w:val="23"/>
        </w:rPr>
        <w:t>семьдесят девять</w:t>
      </w:r>
      <w:r w:rsidR="00824279">
        <w:rPr>
          <w:color w:val="000000"/>
          <w:sz w:val="23"/>
          <w:szCs w:val="23"/>
        </w:rPr>
        <w:t xml:space="preserve"> тысяч </w:t>
      </w:r>
      <w:r w:rsidR="00D0363E">
        <w:rPr>
          <w:color w:val="000000"/>
          <w:sz w:val="23"/>
          <w:szCs w:val="23"/>
        </w:rPr>
        <w:t>сто пятьдесят семь</w:t>
      </w:r>
      <w:r w:rsidR="00824279">
        <w:rPr>
          <w:color w:val="000000"/>
          <w:sz w:val="23"/>
          <w:szCs w:val="23"/>
        </w:rPr>
        <w:t xml:space="preserve"> рубл</w:t>
      </w:r>
      <w:r w:rsidR="00D0363E">
        <w:rPr>
          <w:color w:val="000000"/>
          <w:sz w:val="23"/>
          <w:szCs w:val="23"/>
        </w:rPr>
        <w:t>ей</w:t>
      </w:r>
      <w:r w:rsidR="00583468">
        <w:rPr>
          <w:color w:val="000000"/>
          <w:sz w:val="23"/>
          <w:szCs w:val="23"/>
        </w:rPr>
        <w:t xml:space="preserve"> </w:t>
      </w:r>
      <w:r w:rsidR="00D0363E">
        <w:rPr>
          <w:color w:val="000000"/>
          <w:sz w:val="23"/>
          <w:szCs w:val="23"/>
        </w:rPr>
        <w:t>54</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824279">
      <w:pPr>
        <w:pStyle w:val="msonormalmailrucssattributepostfix"/>
        <w:numPr>
          <w:ilvl w:val="0"/>
          <w:numId w:val="11"/>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583468">
        <w:rPr>
          <w:b/>
          <w:sz w:val="24"/>
          <w:szCs w:val="24"/>
        </w:rPr>
        <w:t>проекторов</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68"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69"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745DBE" w:rsidRDefault="00824279" w:rsidP="00046C5C">
            <w:pPr>
              <w:tabs>
                <w:tab w:val="left" w:pos="3443"/>
              </w:tabs>
              <w:jc w:val="center"/>
              <w:rPr>
                <w:sz w:val="24"/>
                <w:szCs w:val="24"/>
              </w:rPr>
            </w:pPr>
            <w:r>
              <w:rPr>
                <w:sz w:val="24"/>
                <w:szCs w:val="24"/>
              </w:rPr>
              <w:t>Видеост</w:t>
            </w:r>
            <w:r w:rsidR="00046C5C">
              <w:rPr>
                <w:sz w:val="24"/>
                <w:szCs w:val="24"/>
              </w:rPr>
              <w:t>удия</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D61D8" w:rsidP="00583468">
            <w:pPr>
              <w:tabs>
                <w:tab w:val="left" w:pos="3443"/>
              </w:tabs>
              <w:jc w:val="center"/>
              <w:rPr>
                <w:sz w:val="24"/>
                <w:szCs w:val="24"/>
              </w:rPr>
            </w:pPr>
            <w:r>
              <w:rPr>
                <w:sz w:val="24"/>
                <w:szCs w:val="24"/>
              </w:rPr>
              <w:t>1</w:t>
            </w:r>
          </w:p>
        </w:tc>
        <w:tc>
          <w:tcPr>
            <w:tcW w:w="1418" w:type="dxa"/>
            <w:vAlign w:val="center"/>
          </w:tcPr>
          <w:p w:rsidR="00EB1E5C" w:rsidRPr="00745DBE" w:rsidRDefault="00046C5C" w:rsidP="00EB1E5C">
            <w:pPr>
              <w:tabs>
                <w:tab w:val="left" w:pos="3443"/>
              </w:tabs>
              <w:jc w:val="center"/>
              <w:rPr>
                <w:sz w:val="24"/>
                <w:szCs w:val="24"/>
              </w:rPr>
            </w:pPr>
            <w:r>
              <w:rPr>
                <w:sz w:val="24"/>
                <w:szCs w:val="24"/>
              </w:rPr>
              <w:t>3797097</w:t>
            </w:r>
            <w:r w:rsidR="00ED61D8">
              <w:rPr>
                <w:sz w:val="24"/>
                <w:szCs w:val="24"/>
              </w:rPr>
              <w:t>,00</w:t>
            </w:r>
          </w:p>
        </w:tc>
        <w:tc>
          <w:tcPr>
            <w:tcW w:w="1417" w:type="dxa"/>
            <w:vAlign w:val="center"/>
          </w:tcPr>
          <w:p w:rsidR="00EB1E5C" w:rsidRPr="00745DBE" w:rsidRDefault="00046C5C" w:rsidP="00046C5C">
            <w:pPr>
              <w:tabs>
                <w:tab w:val="left" w:pos="3443"/>
              </w:tabs>
              <w:jc w:val="center"/>
              <w:rPr>
                <w:sz w:val="24"/>
                <w:szCs w:val="24"/>
              </w:rPr>
            </w:pPr>
            <w:r>
              <w:rPr>
                <w:sz w:val="24"/>
                <w:szCs w:val="24"/>
              </w:rPr>
              <w:t>4019912,29</w:t>
            </w:r>
          </w:p>
        </w:tc>
        <w:tc>
          <w:tcPr>
            <w:tcW w:w="1418" w:type="dxa"/>
            <w:vAlign w:val="center"/>
          </w:tcPr>
          <w:p w:rsidR="00EB1E5C" w:rsidRPr="00745DBE" w:rsidRDefault="00ED61D8" w:rsidP="00046C5C">
            <w:pPr>
              <w:tabs>
                <w:tab w:val="left" w:pos="3443"/>
              </w:tabs>
              <w:jc w:val="center"/>
              <w:rPr>
                <w:sz w:val="24"/>
                <w:szCs w:val="24"/>
              </w:rPr>
            </w:pPr>
            <w:r>
              <w:rPr>
                <w:sz w:val="24"/>
                <w:szCs w:val="24"/>
              </w:rPr>
              <w:t>2</w:t>
            </w:r>
            <w:r w:rsidR="00046C5C">
              <w:rPr>
                <w:sz w:val="24"/>
                <w:szCs w:val="24"/>
              </w:rPr>
              <w:t>932443</w:t>
            </w:r>
            <w:r>
              <w:rPr>
                <w:sz w:val="24"/>
                <w:szCs w:val="24"/>
              </w:rPr>
              <w:t>,00</w:t>
            </w:r>
          </w:p>
        </w:tc>
        <w:tc>
          <w:tcPr>
            <w:tcW w:w="1417" w:type="dxa"/>
            <w:vAlign w:val="center"/>
          </w:tcPr>
          <w:p w:rsidR="00EB1E5C" w:rsidRPr="00745DBE" w:rsidRDefault="00046C5C" w:rsidP="00EB1E5C">
            <w:pPr>
              <w:tabs>
                <w:tab w:val="left" w:pos="3443"/>
              </w:tabs>
              <w:jc w:val="center"/>
              <w:rPr>
                <w:sz w:val="24"/>
                <w:szCs w:val="24"/>
              </w:rPr>
            </w:pPr>
            <w:r>
              <w:rPr>
                <w:sz w:val="24"/>
                <w:szCs w:val="24"/>
              </w:rPr>
              <w:t>3583150,76</w:t>
            </w:r>
          </w:p>
        </w:tc>
        <w:tc>
          <w:tcPr>
            <w:tcW w:w="1559" w:type="dxa"/>
            <w:vAlign w:val="center"/>
          </w:tcPr>
          <w:p w:rsidR="00EB1E5C" w:rsidRPr="00745DBE" w:rsidRDefault="0047375D" w:rsidP="00EB1E5C">
            <w:pPr>
              <w:tabs>
                <w:tab w:val="left" w:pos="3443"/>
              </w:tabs>
              <w:jc w:val="center"/>
              <w:rPr>
                <w:sz w:val="24"/>
                <w:szCs w:val="24"/>
              </w:rPr>
            </w:pPr>
            <w:r>
              <w:rPr>
                <w:sz w:val="24"/>
                <w:szCs w:val="24"/>
              </w:rPr>
              <w:t>109621,27</w:t>
            </w:r>
          </w:p>
        </w:tc>
        <w:tc>
          <w:tcPr>
            <w:tcW w:w="1418" w:type="dxa"/>
            <w:vAlign w:val="center"/>
          </w:tcPr>
          <w:p w:rsidR="00EB1E5C" w:rsidRPr="00745DBE" w:rsidRDefault="0047375D" w:rsidP="00EB1E5C">
            <w:pPr>
              <w:tabs>
                <w:tab w:val="left" w:pos="3443"/>
              </w:tabs>
              <w:jc w:val="center"/>
              <w:rPr>
                <w:sz w:val="24"/>
                <w:szCs w:val="24"/>
              </w:rPr>
            </w:pPr>
            <w:r>
              <w:rPr>
                <w:sz w:val="24"/>
                <w:szCs w:val="24"/>
              </w:rPr>
              <w:t>4,02</w:t>
            </w:r>
          </w:p>
        </w:tc>
        <w:tc>
          <w:tcPr>
            <w:tcW w:w="1417" w:type="dxa"/>
            <w:vAlign w:val="center"/>
          </w:tcPr>
          <w:p w:rsidR="00EB1E5C" w:rsidRPr="00745DBE" w:rsidRDefault="00046C5C" w:rsidP="00EB1E5C">
            <w:pPr>
              <w:tabs>
                <w:tab w:val="left" w:pos="3443"/>
              </w:tabs>
              <w:jc w:val="center"/>
              <w:rPr>
                <w:sz w:val="24"/>
                <w:szCs w:val="24"/>
              </w:rPr>
            </w:pPr>
            <w:r>
              <w:rPr>
                <w:sz w:val="24"/>
                <w:szCs w:val="24"/>
              </w:rPr>
              <w:t>3583150,76</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046C5C" w:rsidP="00EB315C">
            <w:pPr>
              <w:tabs>
                <w:tab w:val="left" w:pos="3443"/>
              </w:tabs>
              <w:jc w:val="center"/>
              <w:rPr>
                <w:b/>
                <w:sz w:val="24"/>
                <w:szCs w:val="24"/>
              </w:rPr>
            </w:pPr>
            <w:r>
              <w:rPr>
                <w:b/>
                <w:sz w:val="24"/>
                <w:szCs w:val="24"/>
              </w:rPr>
              <w:t>3583150,76</w:t>
            </w:r>
          </w:p>
        </w:tc>
      </w:tr>
    </w:tbl>
    <w:p w:rsidR="008D1020" w:rsidRDefault="008D1020" w:rsidP="003C2DBC">
      <w:pPr>
        <w:jc w:val="both"/>
        <w:rPr>
          <w:sz w:val="24"/>
          <w:szCs w:val="24"/>
        </w:rPr>
      </w:pPr>
    </w:p>
    <w:p w:rsidR="00583468" w:rsidRDefault="00583468" w:rsidP="003C2DBC">
      <w:pPr>
        <w:jc w:val="both"/>
        <w:rPr>
          <w:sz w:val="24"/>
          <w:szCs w:val="24"/>
        </w:rPr>
      </w:pPr>
    </w:p>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EB1E5C">
          <w:pgSz w:w="16838" w:h="11906" w:orient="landscape"/>
          <w:pgMar w:top="1701"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2BB" w:rsidRDefault="00A622BB" w:rsidP="00751CEB">
      <w:r>
        <w:separator/>
      </w:r>
    </w:p>
  </w:endnote>
  <w:endnote w:type="continuationSeparator" w:id="1">
    <w:p w:rsidR="00A622BB" w:rsidRDefault="00A622BB"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2BB" w:rsidRDefault="00A622BB" w:rsidP="00751CEB">
      <w:r>
        <w:separator/>
      </w:r>
    </w:p>
  </w:footnote>
  <w:footnote w:type="continuationSeparator" w:id="1">
    <w:p w:rsidR="00A622BB" w:rsidRDefault="00A622BB"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A244C6"/>
    <w:multiLevelType w:val="multilevel"/>
    <w:tmpl w:val="3D9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7">
    <w:nsid w:val="3C1A6C03"/>
    <w:multiLevelType w:val="multilevel"/>
    <w:tmpl w:val="F7BC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F185E"/>
    <w:multiLevelType w:val="multilevel"/>
    <w:tmpl w:val="0914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6">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1"/>
  </w:num>
  <w:num w:numId="4">
    <w:abstractNumId w:val="3"/>
  </w:num>
  <w:num w:numId="5">
    <w:abstractNumId w:val="15"/>
  </w:num>
  <w:num w:numId="6">
    <w:abstractNumId w:val="13"/>
  </w:num>
  <w:num w:numId="7">
    <w:abstractNumId w:val="9"/>
  </w:num>
  <w:num w:numId="8">
    <w:abstractNumId w:val="16"/>
  </w:num>
  <w:num w:numId="9">
    <w:abstractNumId w:val="14"/>
  </w:num>
  <w:num w:numId="10">
    <w:abstractNumId w:val="5"/>
  </w:num>
  <w:num w:numId="11">
    <w:abstractNumId w:val="12"/>
  </w:num>
  <w:num w:numId="12">
    <w:abstractNumId w:val="10"/>
  </w:num>
  <w:num w:numId="13">
    <w:abstractNumId w:val="11"/>
  </w:num>
  <w:num w:numId="14">
    <w:abstractNumId w:val="7"/>
  </w:num>
  <w:num w:numId="15">
    <w:abstractNumId w:val="8"/>
  </w:num>
  <w:num w:numId="16">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savePreviewPicture/>
  <w:footnotePr>
    <w:footnote w:id="0"/>
    <w:footnote w:id="1"/>
  </w:footnotePr>
  <w:endnotePr>
    <w:endnote w:id="0"/>
    <w:endnote w:id="1"/>
  </w:endnotePr>
  <w:compat/>
  <w:rsids>
    <w:rsidRoot w:val="00425241"/>
    <w:rsid w:val="00000749"/>
    <w:rsid w:val="00002F87"/>
    <w:rsid w:val="000072EE"/>
    <w:rsid w:val="000117EA"/>
    <w:rsid w:val="00011953"/>
    <w:rsid w:val="00015478"/>
    <w:rsid w:val="0002117F"/>
    <w:rsid w:val="0002431A"/>
    <w:rsid w:val="0002577A"/>
    <w:rsid w:val="000314AD"/>
    <w:rsid w:val="0003150C"/>
    <w:rsid w:val="0003577B"/>
    <w:rsid w:val="00040EBB"/>
    <w:rsid w:val="00046C5C"/>
    <w:rsid w:val="00047747"/>
    <w:rsid w:val="00061283"/>
    <w:rsid w:val="000642FA"/>
    <w:rsid w:val="00067285"/>
    <w:rsid w:val="000717F4"/>
    <w:rsid w:val="0007394A"/>
    <w:rsid w:val="000766EF"/>
    <w:rsid w:val="00087F07"/>
    <w:rsid w:val="00090B4E"/>
    <w:rsid w:val="00093B5B"/>
    <w:rsid w:val="000957E5"/>
    <w:rsid w:val="000A025F"/>
    <w:rsid w:val="000A51EF"/>
    <w:rsid w:val="000A5830"/>
    <w:rsid w:val="000B0129"/>
    <w:rsid w:val="000B4967"/>
    <w:rsid w:val="000B66BD"/>
    <w:rsid w:val="000B6E55"/>
    <w:rsid w:val="000C1294"/>
    <w:rsid w:val="000C350C"/>
    <w:rsid w:val="000D02CE"/>
    <w:rsid w:val="000D23AC"/>
    <w:rsid w:val="000D6BD9"/>
    <w:rsid w:val="000D73B9"/>
    <w:rsid w:val="001179AA"/>
    <w:rsid w:val="001202CD"/>
    <w:rsid w:val="00134079"/>
    <w:rsid w:val="00135922"/>
    <w:rsid w:val="0013651C"/>
    <w:rsid w:val="00145CC7"/>
    <w:rsid w:val="00147946"/>
    <w:rsid w:val="00152DD0"/>
    <w:rsid w:val="00164A16"/>
    <w:rsid w:val="0016718A"/>
    <w:rsid w:val="00170F38"/>
    <w:rsid w:val="00171E5F"/>
    <w:rsid w:val="0017473B"/>
    <w:rsid w:val="001850D9"/>
    <w:rsid w:val="00197DF4"/>
    <w:rsid w:val="001A1921"/>
    <w:rsid w:val="001A28B2"/>
    <w:rsid w:val="001A7237"/>
    <w:rsid w:val="001B0018"/>
    <w:rsid w:val="001B17CA"/>
    <w:rsid w:val="001B383A"/>
    <w:rsid w:val="001B52A2"/>
    <w:rsid w:val="001B63EA"/>
    <w:rsid w:val="001C03F6"/>
    <w:rsid w:val="001D4E0D"/>
    <w:rsid w:val="001D591D"/>
    <w:rsid w:val="001E13BC"/>
    <w:rsid w:val="001E1732"/>
    <w:rsid w:val="001E5A57"/>
    <w:rsid w:val="001E5F19"/>
    <w:rsid w:val="001E70DB"/>
    <w:rsid w:val="001F76D6"/>
    <w:rsid w:val="002049D1"/>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62E"/>
    <w:rsid w:val="002A1F3A"/>
    <w:rsid w:val="002A7B4A"/>
    <w:rsid w:val="002B4FED"/>
    <w:rsid w:val="002C30F5"/>
    <w:rsid w:val="002C3DBC"/>
    <w:rsid w:val="002D16D4"/>
    <w:rsid w:val="002D281A"/>
    <w:rsid w:val="002D3FB5"/>
    <w:rsid w:val="002D47F7"/>
    <w:rsid w:val="002D6407"/>
    <w:rsid w:val="002E0343"/>
    <w:rsid w:val="002E1345"/>
    <w:rsid w:val="002E315F"/>
    <w:rsid w:val="002E493B"/>
    <w:rsid w:val="0030117D"/>
    <w:rsid w:val="0030172A"/>
    <w:rsid w:val="00315E14"/>
    <w:rsid w:val="003165C3"/>
    <w:rsid w:val="00321BC1"/>
    <w:rsid w:val="00322A50"/>
    <w:rsid w:val="00323BE4"/>
    <w:rsid w:val="00330876"/>
    <w:rsid w:val="00340F06"/>
    <w:rsid w:val="0034764B"/>
    <w:rsid w:val="00351240"/>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403742"/>
    <w:rsid w:val="00406A97"/>
    <w:rsid w:val="00411839"/>
    <w:rsid w:val="00421872"/>
    <w:rsid w:val="00425241"/>
    <w:rsid w:val="004414F4"/>
    <w:rsid w:val="0045001F"/>
    <w:rsid w:val="00450197"/>
    <w:rsid w:val="00454433"/>
    <w:rsid w:val="00454C82"/>
    <w:rsid w:val="0045741E"/>
    <w:rsid w:val="004611D6"/>
    <w:rsid w:val="004623F0"/>
    <w:rsid w:val="0047375D"/>
    <w:rsid w:val="00482641"/>
    <w:rsid w:val="00483FC0"/>
    <w:rsid w:val="0048528B"/>
    <w:rsid w:val="004A010A"/>
    <w:rsid w:val="004A204D"/>
    <w:rsid w:val="004A2BB9"/>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63B87"/>
    <w:rsid w:val="00572EC6"/>
    <w:rsid w:val="0057559B"/>
    <w:rsid w:val="005771B0"/>
    <w:rsid w:val="00583468"/>
    <w:rsid w:val="0058431B"/>
    <w:rsid w:val="00586BCA"/>
    <w:rsid w:val="005973A6"/>
    <w:rsid w:val="005A54F7"/>
    <w:rsid w:val="005A5E9C"/>
    <w:rsid w:val="005B1B48"/>
    <w:rsid w:val="005B27FA"/>
    <w:rsid w:val="005B2916"/>
    <w:rsid w:val="005B5FE4"/>
    <w:rsid w:val="005B77AC"/>
    <w:rsid w:val="005C00BA"/>
    <w:rsid w:val="005C2AEB"/>
    <w:rsid w:val="005C39F6"/>
    <w:rsid w:val="005C7671"/>
    <w:rsid w:val="005E0B90"/>
    <w:rsid w:val="005E0C42"/>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361C"/>
    <w:rsid w:val="00654C18"/>
    <w:rsid w:val="006621C6"/>
    <w:rsid w:val="006629B8"/>
    <w:rsid w:val="006678AF"/>
    <w:rsid w:val="00672B13"/>
    <w:rsid w:val="006765EC"/>
    <w:rsid w:val="00680D75"/>
    <w:rsid w:val="00682116"/>
    <w:rsid w:val="006836BA"/>
    <w:rsid w:val="006903F1"/>
    <w:rsid w:val="00694282"/>
    <w:rsid w:val="006A1BB3"/>
    <w:rsid w:val="006A1D01"/>
    <w:rsid w:val="006A4316"/>
    <w:rsid w:val="006B1852"/>
    <w:rsid w:val="006C177D"/>
    <w:rsid w:val="006C28EF"/>
    <w:rsid w:val="006D109C"/>
    <w:rsid w:val="006D2D13"/>
    <w:rsid w:val="006E2527"/>
    <w:rsid w:val="006E6A3F"/>
    <w:rsid w:val="006F738F"/>
    <w:rsid w:val="006F75E5"/>
    <w:rsid w:val="006F77D4"/>
    <w:rsid w:val="00705E4F"/>
    <w:rsid w:val="00715A8D"/>
    <w:rsid w:val="007219E6"/>
    <w:rsid w:val="007240F2"/>
    <w:rsid w:val="00732B6B"/>
    <w:rsid w:val="00744D2A"/>
    <w:rsid w:val="00751CEB"/>
    <w:rsid w:val="0075207B"/>
    <w:rsid w:val="0075329F"/>
    <w:rsid w:val="007605E1"/>
    <w:rsid w:val="007607F3"/>
    <w:rsid w:val="00764752"/>
    <w:rsid w:val="007676F6"/>
    <w:rsid w:val="007701B2"/>
    <w:rsid w:val="0077738D"/>
    <w:rsid w:val="007835C8"/>
    <w:rsid w:val="00792B2D"/>
    <w:rsid w:val="00796732"/>
    <w:rsid w:val="00797863"/>
    <w:rsid w:val="007A36E7"/>
    <w:rsid w:val="007A4927"/>
    <w:rsid w:val="007B2926"/>
    <w:rsid w:val="007B2D15"/>
    <w:rsid w:val="007C0FC3"/>
    <w:rsid w:val="007C2822"/>
    <w:rsid w:val="007C3039"/>
    <w:rsid w:val="007C4459"/>
    <w:rsid w:val="007E3331"/>
    <w:rsid w:val="007E33B3"/>
    <w:rsid w:val="007E629C"/>
    <w:rsid w:val="007F2749"/>
    <w:rsid w:val="008048F7"/>
    <w:rsid w:val="0080506F"/>
    <w:rsid w:val="008132B8"/>
    <w:rsid w:val="00814ECE"/>
    <w:rsid w:val="00824279"/>
    <w:rsid w:val="00824B18"/>
    <w:rsid w:val="0082776A"/>
    <w:rsid w:val="00837E6A"/>
    <w:rsid w:val="00842944"/>
    <w:rsid w:val="008470F7"/>
    <w:rsid w:val="008472AB"/>
    <w:rsid w:val="00850018"/>
    <w:rsid w:val="00850393"/>
    <w:rsid w:val="0085215C"/>
    <w:rsid w:val="008528D4"/>
    <w:rsid w:val="008539FD"/>
    <w:rsid w:val="0085662E"/>
    <w:rsid w:val="008608D0"/>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6F67"/>
    <w:rsid w:val="00932C86"/>
    <w:rsid w:val="009427E8"/>
    <w:rsid w:val="00943EA8"/>
    <w:rsid w:val="00945B1D"/>
    <w:rsid w:val="00947686"/>
    <w:rsid w:val="00952052"/>
    <w:rsid w:val="009532A6"/>
    <w:rsid w:val="009552B7"/>
    <w:rsid w:val="00957FDB"/>
    <w:rsid w:val="00966215"/>
    <w:rsid w:val="00970C34"/>
    <w:rsid w:val="00974735"/>
    <w:rsid w:val="00981DB7"/>
    <w:rsid w:val="00985534"/>
    <w:rsid w:val="0098631A"/>
    <w:rsid w:val="009A0039"/>
    <w:rsid w:val="009A1C09"/>
    <w:rsid w:val="009A2624"/>
    <w:rsid w:val="009A413C"/>
    <w:rsid w:val="009A5B64"/>
    <w:rsid w:val="009A76A5"/>
    <w:rsid w:val="009B02F9"/>
    <w:rsid w:val="009B3A74"/>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22BB"/>
    <w:rsid w:val="00A63653"/>
    <w:rsid w:val="00A64A53"/>
    <w:rsid w:val="00A67E7F"/>
    <w:rsid w:val="00A71B55"/>
    <w:rsid w:val="00A912C9"/>
    <w:rsid w:val="00AA66A0"/>
    <w:rsid w:val="00AA7857"/>
    <w:rsid w:val="00AB4C2A"/>
    <w:rsid w:val="00AC0FD3"/>
    <w:rsid w:val="00AD53F6"/>
    <w:rsid w:val="00AD6B16"/>
    <w:rsid w:val="00AE1877"/>
    <w:rsid w:val="00AF135C"/>
    <w:rsid w:val="00B036E9"/>
    <w:rsid w:val="00B04D15"/>
    <w:rsid w:val="00B11202"/>
    <w:rsid w:val="00B15187"/>
    <w:rsid w:val="00B16AA3"/>
    <w:rsid w:val="00B2007F"/>
    <w:rsid w:val="00B21D03"/>
    <w:rsid w:val="00B22620"/>
    <w:rsid w:val="00B231E5"/>
    <w:rsid w:val="00B23A61"/>
    <w:rsid w:val="00B26131"/>
    <w:rsid w:val="00B26BF8"/>
    <w:rsid w:val="00B279BC"/>
    <w:rsid w:val="00B341B1"/>
    <w:rsid w:val="00B34FFD"/>
    <w:rsid w:val="00B35F6D"/>
    <w:rsid w:val="00B36B31"/>
    <w:rsid w:val="00B45384"/>
    <w:rsid w:val="00B46F00"/>
    <w:rsid w:val="00B4756A"/>
    <w:rsid w:val="00B52E8B"/>
    <w:rsid w:val="00B550C7"/>
    <w:rsid w:val="00B566CA"/>
    <w:rsid w:val="00B57084"/>
    <w:rsid w:val="00B570A6"/>
    <w:rsid w:val="00B572AB"/>
    <w:rsid w:val="00B57314"/>
    <w:rsid w:val="00B71E27"/>
    <w:rsid w:val="00B74E27"/>
    <w:rsid w:val="00B80304"/>
    <w:rsid w:val="00B8276B"/>
    <w:rsid w:val="00B85321"/>
    <w:rsid w:val="00B85649"/>
    <w:rsid w:val="00B90349"/>
    <w:rsid w:val="00B91E8F"/>
    <w:rsid w:val="00B95E74"/>
    <w:rsid w:val="00BA1BD3"/>
    <w:rsid w:val="00BA31E3"/>
    <w:rsid w:val="00BC2CC8"/>
    <w:rsid w:val="00BC4832"/>
    <w:rsid w:val="00BC7B6C"/>
    <w:rsid w:val="00BE0DFF"/>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A0FE6"/>
    <w:rsid w:val="00CA31DC"/>
    <w:rsid w:val="00CA620E"/>
    <w:rsid w:val="00CA6250"/>
    <w:rsid w:val="00CB0C94"/>
    <w:rsid w:val="00CB1F18"/>
    <w:rsid w:val="00CB3165"/>
    <w:rsid w:val="00CC1610"/>
    <w:rsid w:val="00CC1F2A"/>
    <w:rsid w:val="00CC3F61"/>
    <w:rsid w:val="00CC4365"/>
    <w:rsid w:val="00CD3F0A"/>
    <w:rsid w:val="00CD41BF"/>
    <w:rsid w:val="00CD4555"/>
    <w:rsid w:val="00CE0195"/>
    <w:rsid w:val="00CE06DE"/>
    <w:rsid w:val="00CE3AAF"/>
    <w:rsid w:val="00CE5F23"/>
    <w:rsid w:val="00CF2BAD"/>
    <w:rsid w:val="00CF64F0"/>
    <w:rsid w:val="00CF71CC"/>
    <w:rsid w:val="00D0363E"/>
    <w:rsid w:val="00D11646"/>
    <w:rsid w:val="00D13134"/>
    <w:rsid w:val="00D13940"/>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543A"/>
    <w:rsid w:val="00D90F99"/>
    <w:rsid w:val="00D91A16"/>
    <w:rsid w:val="00D91BAF"/>
    <w:rsid w:val="00D920E5"/>
    <w:rsid w:val="00D937CA"/>
    <w:rsid w:val="00D97600"/>
    <w:rsid w:val="00DA1019"/>
    <w:rsid w:val="00DA1349"/>
    <w:rsid w:val="00DA2B9C"/>
    <w:rsid w:val="00DA65CC"/>
    <w:rsid w:val="00DB65DE"/>
    <w:rsid w:val="00DC4761"/>
    <w:rsid w:val="00DD5780"/>
    <w:rsid w:val="00DD5D1F"/>
    <w:rsid w:val="00DE2010"/>
    <w:rsid w:val="00DE60F5"/>
    <w:rsid w:val="00DE6959"/>
    <w:rsid w:val="00DE7CF6"/>
    <w:rsid w:val="00DF3594"/>
    <w:rsid w:val="00DF3DE7"/>
    <w:rsid w:val="00DF77BA"/>
    <w:rsid w:val="00DF7986"/>
    <w:rsid w:val="00E06679"/>
    <w:rsid w:val="00E155FA"/>
    <w:rsid w:val="00E24400"/>
    <w:rsid w:val="00E308F4"/>
    <w:rsid w:val="00E32052"/>
    <w:rsid w:val="00E367B4"/>
    <w:rsid w:val="00E403D6"/>
    <w:rsid w:val="00E44046"/>
    <w:rsid w:val="00E446E9"/>
    <w:rsid w:val="00E44882"/>
    <w:rsid w:val="00E45C5F"/>
    <w:rsid w:val="00E46C25"/>
    <w:rsid w:val="00E47AC4"/>
    <w:rsid w:val="00E56DC6"/>
    <w:rsid w:val="00E64AB6"/>
    <w:rsid w:val="00E71F20"/>
    <w:rsid w:val="00E72E65"/>
    <w:rsid w:val="00E7798B"/>
    <w:rsid w:val="00E86F71"/>
    <w:rsid w:val="00E8784C"/>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D61D8"/>
    <w:rsid w:val="00EE37E5"/>
    <w:rsid w:val="00EE5E40"/>
    <w:rsid w:val="00EF2677"/>
    <w:rsid w:val="00EF5C52"/>
    <w:rsid w:val="00F01A01"/>
    <w:rsid w:val="00F11CB8"/>
    <w:rsid w:val="00F16206"/>
    <w:rsid w:val="00F170F7"/>
    <w:rsid w:val="00F31E47"/>
    <w:rsid w:val="00F365E0"/>
    <w:rsid w:val="00F376EB"/>
    <w:rsid w:val="00F474B7"/>
    <w:rsid w:val="00F47793"/>
    <w:rsid w:val="00F51BC3"/>
    <w:rsid w:val="00F52C9B"/>
    <w:rsid w:val="00F56EA2"/>
    <w:rsid w:val="00F5756F"/>
    <w:rsid w:val="00F6165D"/>
    <w:rsid w:val="00F83F57"/>
    <w:rsid w:val="00F86559"/>
    <w:rsid w:val="00F86BAA"/>
    <w:rsid w:val="00F87846"/>
    <w:rsid w:val="00F921F5"/>
    <w:rsid w:val="00F92CB2"/>
    <w:rsid w:val="00F95235"/>
    <w:rsid w:val="00F9542B"/>
    <w:rsid w:val="00FB42BA"/>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a">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d">
    <w:name w:val="Emphasis"/>
    <w:qFormat/>
    <w:rsid w:val="005624D0"/>
    <w:rPr>
      <w:rFonts w:cs="Times New Roman"/>
      <w:i/>
      <w:iCs/>
    </w:rPr>
  </w:style>
  <w:style w:type="paragraph" w:customStyle="1" w:styleId="afe">
    <w:name w:val="Знак"/>
    <w:basedOn w:val="a"/>
    <w:rsid w:val="005624D0"/>
    <w:pPr>
      <w:spacing w:after="160" w:line="240" w:lineRule="exact"/>
    </w:pPr>
    <w:rPr>
      <w:rFonts w:ascii="Verdana" w:hAnsi="Verdana"/>
      <w:sz w:val="24"/>
      <w:szCs w:val="24"/>
      <w:lang w:val="en-US" w:eastAsia="en-US"/>
    </w:rPr>
  </w:style>
  <w:style w:type="paragraph" w:customStyle="1" w:styleId="aff">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0">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semiHidden/>
    <w:rsid w:val="005624D0"/>
    <w:rPr>
      <w:sz w:val="16"/>
      <w:szCs w:val="16"/>
    </w:rPr>
  </w:style>
  <w:style w:type="paragraph" w:styleId="aff2">
    <w:name w:val="annotation text"/>
    <w:basedOn w:val="a"/>
    <w:link w:val="aff3"/>
    <w:semiHidden/>
    <w:rsid w:val="005624D0"/>
  </w:style>
  <w:style w:type="character" w:customStyle="1" w:styleId="aff3">
    <w:name w:val="Текст примечания Знак"/>
    <w:basedOn w:val="a0"/>
    <w:link w:val="aff2"/>
    <w:semiHidden/>
    <w:rsid w:val="005624D0"/>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24D0"/>
    <w:rPr>
      <w:b/>
      <w:bCs/>
    </w:rPr>
  </w:style>
  <w:style w:type="character" w:customStyle="1" w:styleId="aff5">
    <w:name w:val="Тема примечания Знак"/>
    <w:basedOn w:val="aff3"/>
    <w:link w:val="aff4"/>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6">
    <w:name w:val="Document Map"/>
    <w:basedOn w:val="a"/>
    <w:link w:val="aff7"/>
    <w:semiHidden/>
    <w:rsid w:val="005624D0"/>
    <w:pPr>
      <w:shd w:val="clear" w:color="auto" w:fill="000080"/>
    </w:pPr>
    <w:rPr>
      <w:rFonts w:ascii="Tahoma" w:hAnsi="Tahoma" w:cs="Tahoma"/>
    </w:rPr>
  </w:style>
  <w:style w:type="character" w:customStyle="1" w:styleId="aff7">
    <w:name w:val="Схема документа Знак"/>
    <w:basedOn w:val="a0"/>
    <w:link w:val="aff6"/>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8">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link w:val="affb"/>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c">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c"/>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d">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b">
    <w:name w:val="Без интервала Знак"/>
    <w:basedOn w:val="a0"/>
    <w:link w:val="affa"/>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e">
    <w:name w:val="endnote text"/>
    <w:basedOn w:val="a"/>
    <w:link w:val="afff"/>
    <w:uiPriority w:val="99"/>
    <w:semiHidden/>
    <w:unhideWhenUsed/>
    <w:rsid w:val="00751CEB"/>
  </w:style>
  <w:style w:type="character" w:customStyle="1" w:styleId="afff">
    <w:name w:val="Текст концевой сноски Знак"/>
    <w:basedOn w:val="a0"/>
    <w:link w:val="affe"/>
    <w:uiPriority w:val="99"/>
    <w:semiHidden/>
    <w:rsid w:val="00751CEB"/>
    <w:rPr>
      <w:rFonts w:ascii="Times New Roman" w:eastAsia="Times New Roman" w:hAnsi="Times New Roman" w:cs="Times New Roman"/>
      <w:sz w:val="20"/>
      <w:szCs w:val="20"/>
      <w:lang w:eastAsia="ru-RU"/>
    </w:rPr>
  </w:style>
  <w:style w:type="character" w:styleId="afff0">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 w:type="paragraph" w:customStyle="1" w:styleId="textbody">
    <w:name w:val="textbody"/>
    <w:basedOn w:val="a"/>
    <w:rsid w:val="007B292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67224800">
      <w:bodyDiv w:val="1"/>
      <w:marLeft w:val="0"/>
      <w:marRight w:val="0"/>
      <w:marTop w:val="0"/>
      <w:marBottom w:val="0"/>
      <w:divBdr>
        <w:top w:val="none" w:sz="0" w:space="0" w:color="auto"/>
        <w:left w:val="none" w:sz="0" w:space="0" w:color="auto"/>
        <w:bottom w:val="none" w:sz="0" w:space="0" w:color="auto"/>
        <w:right w:val="none" w:sz="0" w:space="0" w:color="auto"/>
      </w:divBdr>
      <w:divsChild>
        <w:div w:id="882249910">
          <w:marLeft w:val="0"/>
          <w:marRight w:val="0"/>
          <w:marTop w:val="0"/>
          <w:marBottom w:val="0"/>
          <w:divBdr>
            <w:top w:val="none" w:sz="0" w:space="0" w:color="auto"/>
            <w:left w:val="none" w:sz="0" w:space="0" w:color="auto"/>
            <w:bottom w:val="none" w:sz="0" w:space="0" w:color="auto"/>
            <w:right w:val="none" w:sz="0" w:space="0" w:color="auto"/>
          </w:divBdr>
        </w:div>
        <w:div w:id="480120253">
          <w:marLeft w:val="0"/>
          <w:marRight w:val="0"/>
          <w:marTop w:val="0"/>
          <w:marBottom w:val="0"/>
          <w:divBdr>
            <w:top w:val="none" w:sz="0" w:space="0" w:color="auto"/>
            <w:left w:val="none" w:sz="0" w:space="0" w:color="auto"/>
            <w:bottom w:val="none" w:sz="0" w:space="0" w:color="auto"/>
            <w:right w:val="none" w:sz="0" w:space="0" w:color="auto"/>
          </w:divBdr>
        </w:div>
      </w:divsChild>
    </w:div>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ard.ru/catalog/tovar269708.htm" TargetMode="External"/><Relationship Id="rId18" Type="http://schemas.openxmlformats.org/officeDocument/2006/relationships/hyperlink" Target="https://www.regard.ru/catalog/tovar269708.htm" TargetMode="External"/><Relationship Id="rId26" Type="http://schemas.openxmlformats.org/officeDocument/2006/relationships/hyperlink" Target="https://www.regard.ru/catalog/tovar160748.htm" TargetMode="External"/><Relationship Id="rId39" Type="http://schemas.openxmlformats.org/officeDocument/2006/relationships/hyperlink" Target="https://www.regard.ru/catalog/tovar238796.htm" TargetMode="External"/><Relationship Id="rId21" Type="http://schemas.openxmlformats.org/officeDocument/2006/relationships/hyperlink" Target="https://www.regard.ru/catalog/tovar165137.htm" TargetMode="External"/><Relationship Id="rId34" Type="http://schemas.openxmlformats.org/officeDocument/2006/relationships/hyperlink" Target="https://www.regard.ru/catalog/tovar238796.htm" TargetMode="External"/><Relationship Id="rId42" Type="http://schemas.openxmlformats.org/officeDocument/2006/relationships/hyperlink" Target="https://www.regard.ru/catalog/tovar265139.htm" TargetMode="External"/><Relationship Id="rId47" Type="http://schemas.openxmlformats.org/officeDocument/2006/relationships/hyperlink" Target="https://www.regard.ru/catalog/tovar265139.htm" TargetMode="External"/><Relationship Id="rId50" Type="http://schemas.openxmlformats.org/officeDocument/2006/relationships/hyperlink" Target="https://www.regard.ru/catalog/tovar265139.htm" TargetMode="External"/><Relationship Id="rId55" Type="http://schemas.openxmlformats.org/officeDocument/2006/relationships/hyperlink" Target="https://www.regard.ru/catalog/tovar239367.htm" TargetMode="External"/><Relationship Id="rId63" Type="http://schemas.openxmlformats.org/officeDocument/2006/relationships/hyperlink" Target="https://www.regard.ru/catalog/tovar239367.htm" TargetMode="External"/><Relationship Id="rId68" Type="http://schemas.openxmlformats.org/officeDocument/2006/relationships/image" Target="media/image2.wmf"/><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regard.ru/catalog/tovar269708.htm" TargetMode="External"/><Relationship Id="rId29" Type="http://schemas.openxmlformats.org/officeDocument/2006/relationships/hyperlink" Target="https://www.regard.ru/catalog/tovar16074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24" Type="http://schemas.openxmlformats.org/officeDocument/2006/relationships/hyperlink" Target="https://www.regard.ru/catalog/tovar160748.htm" TargetMode="External"/><Relationship Id="rId32" Type="http://schemas.openxmlformats.org/officeDocument/2006/relationships/hyperlink" Target="https://www.regard.ru/catalog/tovar160748.htm" TargetMode="External"/><Relationship Id="rId37" Type="http://schemas.openxmlformats.org/officeDocument/2006/relationships/hyperlink" Target="https://www.regard.ru/catalog/tovar238796.htm" TargetMode="External"/><Relationship Id="rId40" Type="http://schemas.openxmlformats.org/officeDocument/2006/relationships/hyperlink" Target="https://www.regard.ru/catalog/tovar238796.htm" TargetMode="External"/><Relationship Id="rId45" Type="http://schemas.openxmlformats.org/officeDocument/2006/relationships/hyperlink" Target="https://www.regard.ru/catalog/tovar265139.htm" TargetMode="External"/><Relationship Id="rId53" Type="http://schemas.openxmlformats.org/officeDocument/2006/relationships/hyperlink" Target="https://www.regard.ru/catalog/tovar239367.htm" TargetMode="External"/><Relationship Id="rId58" Type="http://schemas.openxmlformats.org/officeDocument/2006/relationships/hyperlink" Target="https://www.regard.ru/catalog/tovar239367.htm" TargetMode="External"/><Relationship Id="rId66" Type="http://schemas.openxmlformats.org/officeDocument/2006/relationships/hyperlink" Target="https://www.regard.ru/catalog/tovar239367.htm" TargetMode="External"/><Relationship Id="rId5" Type="http://schemas.openxmlformats.org/officeDocument/2006/relationships/webSettings" Target="webSettings.xml"/><Relationship Id="rId15" Type="http://schemas.openxmlformats.org/officeDocument/2006/relationships/hyperlink" Target="https://www.regard.ru/catalog/tovar269708.htm" TargetMode="External"/><Relationship Id="rId23" Type="http://schemas.openxmlformats.org/officeDocument/2006/relationships/hyperlink" Target="https://www.regard.ru/catalog/tovar160748.htm" TargetMode="External"/><Relationship Id="rId28" Type="http://schemas.openxmlformats.org/officeDocument/2006/relationships/hyperlink" Target="https://www.regard.ru/catalog/tovar160748.htm" TargetMode="External"/><Relationship Id="rId36" Type="http://schemas.openxmlformats.org/officeDocument/2006/relationships/hyperlink" Target="https://www.regard.ru/catalog/tovar238796.htm" TargetMode="External"/><Relationship Id="rId49" Type="http://schemas.openxmlformats.org/officeDocument/2006/relationships/hyperlink" Target="https://www.regard.ru/catalog/tovar265139.htm" TargetMode="External"/><Relationship Id="rId57" Type="http://schemas.openxmlformats.org/officeDocument/2006/relationships/hyperlink" Target="https://www.regard.ru/catalog/tovar239367.htm" TargetMode="External"/><Relationship Id="rId61" Type="http://schemas.openxmlformats.org/officeDocument/2006/relationships/hyperlink" Target="https://www.regard.ru/catalog/tovar239367.htm" TargetMode="External"/><Relationship Id="rId10" Type="http://schemas.openxmlformats.org/officeDocument/2006/relationships/hyperlink" Target="consultantplus://offline/ref=C5B5A5E6B836FEF6F34B9B9E103EC5BE544584DCBCC017BF8A6099D11267EAB6954EBD038DBDDFa1H" TargetMode="External"/><Relationship Id="rId19" Type="http://schemas.openxmlformats.org/officeDocument/2006/relationships/hyperlink" Target="https://www.regard.ru/catalog/tovar269708.htm" TargetMode="External"/><Relationship Id="rId31" Type="http://schemas.openxmlformats.org/officeDocument/2006/relationships/hyperlink" Target="https://www.regard.ru/catalog/tovar160748.htm" TargetMode="External"/><Relationship Id="rId44" Type="http://schemas.openxmlformats.org/officeDocument/2006/relationships/hyperlink" Target="https://www.regard.ru/catalog/tovar265139.htm" TargetMode="External"/><Relationship Id="rId52" Type="http://schemas.openxmlformats.org/officeDocument/2006/relationships/hyperlink" Target="https://www.regard.ru/catalog/tovar239367.htm" TargetMode="External"/><Relationship Id="rId60" Type="http://schemas.openxmlformats.org/officeDocument/2006/relationships/hyperlink" Target="https://www.regard.ru/catalog/tovar239367.htm" TargetMode="External"/><Relationship Id="rId65" Type="http://schemas.openxmlformats.org/officeDocument/2006/relationships/hyperlink" Target="https://www.regard.ru/catalog/tovar239367.htm"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hyperlink" Target="https://www.regard.ru/catalog/tovar269708.htm" TargetMode="External"/><Relationship Id="rId22" Type="http://schemas.openxmlformats.org/officeDocument/2006/relationships/hyperlink" Target="https://www.regard.ru/catalog/tovar160748.htm" TargetMode="External"/><Relationship Id="rId27" Type="http://schemas.openxmlformats.org/officeDocument/2006/relationships/hyperlink" Target="https://www.regard.ru/catalog/tovar160748.htm" TargetMode="External"/><Relationship Id="rId30" Type="http://schemas.openxmlformats.org/officeDocument/2006/relationships/hyperlink" Target="https://www.regard.ru/catalog/tovar160748.htm" TargetMode="External"/><Relationship Id="rId35" Type="http://schemas.openxmlformats.org/officeDocument/2006/relationships/hyperlink" Target="https://www.regard.ru/catalog/tovar238796.htm" TargetMode="External"/><Relationship Id="rId43" Type="http://schemas.openxmlformats.org/officeDocument/2006/relationships/hyperlink" Target="https://www.regard.ru/catalog/tovar265139.htm" TargetMode="External"/><Relationship Id="rId48" Type="http://schemas.openxmlformats.org/officeDocument/2006/relationships/hyperlink" Target="https://www.regard.ru/catalog/tovar265139.htm" TargetMode="External"/><Relationship Id="rId56" Type="http://schemas.openxmlformats.org/officeDocument/2006/relationships/hyperlink" Target="https://www.regard.ru/catalog/tovar239367.htm" TargetMode="External"/><Relationship Id="rId64" Type="http://schemas.openxmlformats.org/officeDocument/2006/relationships/hyperlink" Target="https://www.regard.ru/catalog/tovar239367.htm" TargetMode="External"/><Relationship Id="rId69" Type="http://schemas.openxmlformats.org/officeDocument/2006/relationships/image" Target="media/image3.wmf"/><Relationship Id="rId8" Type="http://schemas.openxmlformats.org/officeDocument/2006/relationships/image" Target="media/image1.jpeg"/><Relationship Id="rId51" Type="http://schemas.openxmlformats.org/officeDocument/2006/relationships/hyperlink" Target="https://www.regard.ru/catalog/tovar239367.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regard.ru/catalog/tovar269708.htm" TargetMode="External"/><Relationship Id="rId17" Type="http://schemas.openxmlformats.org/officeDocument/2006/relationships/hyperlink" Target="https://www.regard.ru/catalog/tovar269708.htm" TargetMode="External"/><Relationship Id="rId25" Type="http://schemas.openxmlformats.org/officeDocument/2006/relationships/hyperlink" Target="https://www.regard.ru/catalog/tovar160748.htm" TargetMode="External"/><Relationship Id="rId33" Type="http://schemas.openxmlformats.org/officeDocument/2006/relationships/hyperlink" Target="https://www.regard.ru/catalog/tovar238796.htm" TargetMode="External"/><Relationship Id="rId38" Type="http://schemas.openxmlformats.org/officeDocument/2006/relationships/hyperlink" Target="https://www.regard.ru/catalog/tovar238796.htm" TargetMode="External"/><Relationship Id="rId46" Type="http://schemas.openxmlformats.org/officeDocument/2006/relationships/hyperlink" Target="https://www.regard.ru/catalog/tovar265139.htm" TargetMode="External"/><Relationship Id="rId59" Type="http://schemas.openxmlformats.org/officeDocument/2006/relationships/hyperlink" Target="https://www.regard.ru/catalog/tovar239367.htm" TargetMode="External"/><Relationship Id="rId67" Type="http://schemas.openxmlformats.org/officeDocument/2006/relationships/hyperlink" Target="https://www.regard.ru/catalog/tovar239367.htm" TargetMode="External"/><Relationship Id="rId20" Type="http://schemas.openxmlformats.org/officeDocument/2006/relationships/hyperlink" Target="https://www.regard.ru/catalog/tovar165137.htm" TargetMode="External"/><Relationship Id="rId41" Type="http://schemas.openxmlformats.org/officeDocument/2006/relationships/hyperlink" Target="https://www.regard.ru/catalog/tovar265139.htm" TargetMode="External"/><Relationship Id="rId54" Type="http://schemas.openxmlformats.org/officeDocument/2006/relationships/hyperlink" Target="https://www.regard.ru/catalog/tovar239367.htm" TargetMode="External"/><Relationship Id="rId62" Type="http://schemas.openxmlformats.org/officeDocument/2006/relationships/hyperlink" Target="https://www.regard.ru/catalog/tovar239367.htm" TargetMode="Externa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569BA"/>
    <w:rsid w:val="002D200F"/>
    <w:rsid w:val="00341527"/>
    <w:rsid w:val="00341A85"/>
    <w:rsid w:val="003D11C3"/>
    <w:rsid w:val="003F1C2E"/>
    <w:rsid w:val="003F3BBB"/>
    <w:rsid w:val="00453D91"/>
    <w:rsid w:val="004B4BD0"/>
    <w:rsid w:val="005C048A"/>
    <w:rsid w:val="005E5C1B"/>
    <w:rsid w:val="00606E2C"/>
    <w:rsid w:val="00622F74"/>
    <w:rsid w:val="00667564"/>
    <w:rsid w:val="00667633"/>
    <w:rsid w:val="00687D56"/>
    <w:rsid w:val="006A5873"/>
    <w:rsid w:val="006C7560"/>
    <w:rsid w:val="006F03BD"/>
    <w:rsid w:val="007B57BE"/>
    <w:rsid w:val="007C05F7"/>
    <w:rsid w:val="00871F5E"/>
    <w:rsid w:val="008A25D3"/>
    <w:rsid w:val="008E416F"/>
    <w:rsid w:val="0091322A"/>
    <w:rsid w:val="0098342C"/>
    <w:rsid w:val="009D2A99"/>
    <w:rsid w:val="00A00FE9"/>
    <w:rsid w:val="00A55678"/>
    <w:rsid w:val="00AC1385"/>
    <w:rsid w:val="00BD665B"/>
    <w:rsid w:val="00C507E9"/>
    <w:rsid w:val="00CA07A2"/>
    <w:rsid w:val="00CA740A"/>
    <w:rsid w:val="00D82BD9"/>
    <w:rsid w:val="00DB4F57"/>
    <w:rsid w:val="00DB75C0"/>
    <w:rsid w:val="00E116A6"/>
    <w:rsid w:val="00F12FE7"/>
    <w:rsid w:val="00F41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Pages>
  <Words>17381</Words>
  <Characters>99074</Characters>
  <Application>Microsoft Office Word</Application>
  <DocSecurity>0</DocSecurity>
  <Lines>825</Lines>
  <Paragraphs>232</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Раздел 1. Инструкция участника закупки</vt:lpstr>
      <vt:lpstr>    А. Введение</vt:lpstr>
      <vt:lpstr>        Статья 1. Заказчик</vt:lpstr>
      <vt:lpstr>        Статья 2. Открытый аукцион в электронной форме, объект закупки. Место, условия и</vt:lpstr>
      <vt:lpstr>        Статья 4. Участники закупки</vt:lpstr>
      <vt:lpstr>        Статья 5. Требования, предъявляемые к Участнику закупки</vt:lpstr>
      <vt:lpstr>        Статья 6. Затраты на участие в Аукционе, обеспечение заявки на участие в Аукцион</vt:lpstr>
      <vt:lpstr>    Б. Документация об Аукционе</vt:lpstr>
      <vt:lpstr>    </vt:lpstr>
      <vt:lpstr>    Статья 7. Порядок предоставления документации</vt:lpstr>
      <vt:lpstr>    </vt:lpstr>
      <vt:lpstr>    7.1. Одновременно с размещением извещения о проведении аукциона Заказчик обеспеч</vt:lpstr>
      <vt:lpstr>    7.2. Документация об аукционе доступна для ознакомления на официальном сайте без</vt:lpstr>
      <vt:lpstr>    </vt:lpstr>
      <vt:lpstr>        Статья 8. Содержание документации об Аукционе</vt:lpstr>
      <vt:lpstr>        </vt:lpstr>
      <vt:lpstr>        Статья 9. Разъяснение положений документации об Аукционе</vt:lpstr>
      <vt:lpstr>        Статья 10. Внесение изменений в извещение о проведении Аукциона и в документацию</vt:lpstr>
      <vt:lpstr/>
      <vt:lpstr>    В. Подготовка Заявки на участие в Аукционе</vt:lpstr>
      <vt:lpstr>        Статья 11. Язык Заявки на участие в Аукционе</vt:lpstr>
      <vt:lpstr>        Статья 12. Документы, входящие в состав Заявки на участие в Аукционе</vt:lpstr>
      <vt:lpstr>    Статья 13. Порядок подачи заявок на участие в открытом аукционе в электронной фо</vt:lpstr>
      <vt:lpstr>    </vt:lpstr>
      <vt:lpstr>    Статья 14. Порядок рассмотрения первых частей заявок на участие в открытом аукци</vt:lpstr>
      <vt:lpstr>    </vt:lpstr>
      <vt:lpstr>    Статья 15. Порядок проведения открытого аукциона в электронной форме</vt:lpstr>
      <vt:lpstr>    </vt:lpstr>
      <vt:lpstr>    Статья 16. Порядок рассмотрения вторых частей заявок на участие в открытом аукци</vt:lpstr>
      <vt:lpstr>    </vt:lpstr>
      <vt:lpstr>    Статья 18. Заключение контракта по результатам открытого аукциона в электронной </vt:lpstr>
      <vt:lpstr>    </vt:lpstr>
      <vt:lpstr>        Раздел 2. Информационная карта</vt:lpstr>
      <vt:lpstr/>
    </vt:vector>
  </TitlesOfParts>
  <Company>Microsoft</Company>
  <LinksUpToDate>false</LinksUpToDate>
  <CharactersWithSpaces>116223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145</cp:revision>
  <cp:lastPrinted>2017-09-20T06:58:00Z</cp:lastPrinted>
  <dcterms:created xsi:type="dcterms:W3CDTF">2016-05-04T13:20:00Z</dcterms:created>
  <dcterms:modified xsi:type="dcterms:W3CDTF">2018-11-15T13:42:00Z</dcterms:modified>
</cp:coreProperties>
</file>