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F170F7">
        <w:rPr>
          <w:b/>
          <w:sz w:val="24"/>
          <w:szCs w:val="24"/>
        </w:rPr>
        <w:t xml:space="preserve">приобретение </w:t>
      </w:r>
      <w:r w:rsidR="00DD6968">
        <w:rPr>
          <w:b/>
          <w:sz w:val="24"/>
          <w:szCs w:val="24"/>
        </w:rPr>
        <w:t>фотостудии</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FE3509" w:rsidP="00252E68">
      <w:pPr>
        <w:pStyle w:val="1b"/>
        <w:rPr>
          <w:rFonts w:asciiTheme="minorHAnsi" w:eastAsiaTheme="minorEastAsia" w:hAnsiTheme="minorHAnsi" w:cstheme="minorBidi"/>
          <w:noProof/>
        </w:rPr>
      </w:pPr>
      <w:r w:rsidRPr="00FE3509">
        <w:fldChar w:fldCharType="begin"/>
      </w:r>
      <w:r w:rsidR="00291D52" w:rsidRPr="00F35F83">
        <w:instrText xml:space="preserve"> TOC \o "1-3" \h \z \u </w:instrText>
      </w:r>
      <w:r w:rsidRPr="00FE3509">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FE3509"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FE3509"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FE3509"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FE3509"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FE3509"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FE3509"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FE3509"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FE3509"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FE3509"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FE3509"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FE3509"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FE3509"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FE3509"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FE3509"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FE3509"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FE3509"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7B3141">
        <w:t>8</w:t>
      </w:r>
    </w:p>
    <w:p w:rsidR="00291D52" w:rsidRPr="00F35F83" w:rsidRDefault="00FE3509"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7B3141">
        <w:t>2</w:t>
      </w:r>
    </w:p>
    <w:p w:rsidR="00355BAA" w:rsidRDefault="00FE3509"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DD6968">
        <w:rPr>
          <w:b/>
          <w:sz w:val="24"/>
          <w:szCs w:val="24"/>
        </w:rPr>
        <w:t>127736</w:t>
      </w:r>
      <w:r w:rsidRPr="00D16CDD">
        <w:rPr>
          <w:b/>
          <w:sz w:val="24"/>
          <w:szCs w:val="24"/>
        </w:rPr>
        <w:t xml:space="preserve"> рублей </w:t>
      </w:r>
      <w:r w:rsidR="00DD6968">
        <w:rPr>
          <w:b/>
          <w:sz w:val="24"/>
          <w:szCs w:val="24"/>
        </w:rPr>
        <w:t>1</w:t>
      </w:r>
      <w:r w:rsidR="00F170F7">
        <w:rPr>
          <w:b/>
          <w:sz w:val="24"/>
          <w:szCs w:val="24"/>
        </w:rPr>
        <w:t>0</w:t>
      </w:r>
      <w:r w:rsidRPr="00D16CDD">
        <w:rPr>
          <w:b/>
          <w:sz w:val="24"/>
          <w:szCs w:val="24"/>
        </w:rPr>
        <w:t xml:space="preserve"> копеек </w:t>
      </w:r>
      <w:r w:rsidRPr="00D16CDD">
        <w:rPr>
          <w:sz w:val="24"/>
          <w:szCs w:val="24"/>
        </w:rPr>
        <w:t>(</w:t>
      </w:r>
      <w:r w:rsidR="00DD6968">
        <w:rPr>
          <w:sz w:val="24"/>
          <w:szCs w:val="24"/>
        </w:rPr>
        <w:t>сто двадцать семь</w:t>
      </w:r>
      <w:r>
        <w:rPr>
          <w:sz w:val="24"/>
          <w:szCs w:val="24"/>
        </w:rPr>
        <w:t xml:space="preserve"> тысяч </w:t>
      </w:r>
      <w:r w:rsidR="00DD6968">
        <w:rPr>
          <w:sz w:val="24"/>
          <w:szCs w:val="24"/>
        </w:rPr>
        <w:t>семьсот тридцать шесть</w:t>
      </w:r>
      <w:r>
        <w:rPr>
          <w:sz w:val="24"/>
          <w:szCs w:val="24"/>
        </w:rPr>
        <w:t xml:space="preserve"> рублей </w:t>
      </w:r>
      <w:r w:rsidR="00DD6968">
        <w:rPr>
          <w:sz w:val="24"/>
          <w:szCs w:val="24"/>
        </w:rPr>
        <w:t>1</w:t>
      </w:r>
      <w:r w:rsidR="00F170F7">
        <w:rPr>
          <w:sz w:val="24"/>
          <w:szCs w:val="24"/>
        </w:rPr>
        <w:t>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170F7" w:rsidP="0048528B">
            <w:pPr>
              <w:autoSpaceDE w:val="0"/>
              <w:autoSpaceDN w:val="0"/>
              <w:adjustRightInd w:val="0"/>
              <w:jc w:val="both"/>
              <w:rPr>
                <w:b/>
                <w:i/>
                <w:color w:val="000000"/>
                <w:sz w:val="24"/>
                <w:szCs w:val="24"/>
              </w:rPr>
            </w:pPr>
            <w:r>
              <w:rPr>
                <w:b/>
                <w:i/>
                <w:sz w:val="24"/>
                <w:szCs w:val="24"/>
              </w:rPr>
              <w:t xml:space="preserve">Приобретение </w:t>
            </w:r>
            <w:r w:rsidR="00DD6968">
              <w:rPr>
                <w:b/>
                <w:i/>
                <w:sz w:val="24"/>
                <w:szCs w:val="24"/>
              </w:rPr>
              <w:t>фотостудии</w:t>
            </w:r>
            <w:r w:rsidR="006A1BB3">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8608D0" w:rsidP="00DD6968">
                <w:pPr>
                  <w:widowControl w:val="0"/>
                  <w:suppressAutoHyphens/>
                  <w:autoSpaceDE w:val="0"/>
                  <w:autoSpaceDN w:val="0"/>
                  <w:adjustRightInd w:val="0"/>
                  <w:jc w:val="both"/>
                  <w:rPr>
                    <w:sz w:val="24"/>
                    <w:szCs w:val="24"/>
                  </w:rPr>
                </w:pPr>
                <w:r>
                  <w:rPr>
                    <w:sz w:val="24"/>
                    <w:szCs w:val="24"/>
                  </w:rPr>
                  <w:t>П</w:t>
                </w:r>
                <w:r w:rsidR="006A1BB3">
                  <w:rPr>
                    <w:sz w:val="24"/>
                    <w:szCs w:val="24"/>
                  </w:rPr>
                  <w:t>осле заключения контракта</w:t>
                </w:r>
                <w:r>
                  <w:rPr>
                    <w:sz w:val="24"/>
                    <w:szCs w:val="24"/>
                  </w:rPr>
                  <w:t xml:space="preserve"> до 2</w:t>
                </w:r>
                <w:r w:rsidR="00DD6968">
                  <w:rPr>
                    <w:sz w:val="24"/>
                    <w:szCs w:val="24"/>
                  </w:rPr>
                  <w:t>8</w:t>
                </w:r>
                <w:r>
                  <w:rPr>
                    <w:sz w:val="24"/>
                    <w:szCs w:val="24"/>
                  </w:rPr>
                  <w:t>.12.2018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FE3509"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DD6968">
                  <w:rPr>
                    <w:b/>
                    <w:sz w:val="24"/>
                    <w:szCs w:val="24"/>
                    <w:lang w:eastAsia="ar-SA"/>
                  </w:rPr>
                  <w:t>283858</w:t>
                </w:r>
                <w:r w:rsidR="00F170F7">
                  <w:rPr>
                    <w:b/>
                    <w:sz w:val="24"/>
                    <w:szCs w:val="24"/>
                    <w:lang w:eastAsia="ar-SA"/>
                  </w:rPr>
                  <w:t xml:space="preserve"> </w:t>
                </w:r>
                <w:r w:rsidR="00B036E9" w:rsidRPr="00127A51">
                  <w:rPr>
                    <w:b/>
                    <w:sz w:val="24"/>
                    <w:szCs w:val="24"/>
                    <w:lang w:eastAsia="ar-SA"/>
                  </w:rPr>
                  <w:t>(</w:t>
                </w:r>
                <w:r w:rsidR="00DD6968">
                  <w:rPr>
                    <w:b/>
                    <w:sz w:val="24"/>
                    <w:szCs w:val="24"/>
                    <w:lang w:eastAsia="ar-SA"/>
                  </w:rPr>
                  <w:t>Двести восемьдесят три</w:t>
                </w:r>
                <w:r w:rsidR="00015478">
                  <w:rPr>
                    <w:b/>
                    <w:sz w:val="24"/>
                    <w:szCs w:val="24"/>
                    <w:lang w:eastAsia="ar-SA"/>
                  </w:rPr>
                  <w:t xml:space="preserve"> </w:t>
                </w:r>
                <w:r w:rsidR="002E315F">
                  <w:rPr>
                    <w:b/>
                    <w:sz w:val="24"/>
                    <w:szCs w:val="24"/>
                    <w:lang w:eastAsia="ar-SA"/>
                  </w:rPr>
                  <w:t>тысяч</w:t>
                </w:r>
                <w:r w:rsidR="00DD6968">
                  <w:rPr>
                    <w:b/>
                    <w:sz w:val="24"/>
                    <w:szCs w:val="24"/>
                    <w:lang w:eastAsia="ar-SA"/>
                  </w:rPr>
                  <w:t>и</w:t>
                </w:r>
                <w:r w:rsidR="00DF7986">
                  <w:rPr>
                    <w:b/>
                    <w:sz w:val="24"/>
                    <w:szCs w:val="24"/>
                    <w:lang w:eastAsia="ar-SA"/>
                  </w:rPr>
                  <w:t xml:space="preserve"> </w:t>
                </w:r>
                <w:r w:rsidR="00DD6968">
                  <w:rPr>
                    <w:b/>
                    <w:sz w:val="24"/>
                    <w:szCs w:val="24"/>
                    <w:lang w:eastAsia="ar-SA"/>
                  </w:rPr>
                  <w:t>восемьсот пятьдесят восемь рублей</w:t>
                </w:r>
                <w:r w:rsidR="00B036E9" w:rsidRPr="00127A51">
                  <w:rPr>
                    <w:b/>
                    <w:sz w:val="24"/>
                    <w:szCs w:val="24"/>
                    <w:lang w:eastAsia="ar-SA"/>
                  </w:rPr>
                  <w:t xml:space="preserve">) </w:t>
                </w:r>
                <w:r w:rsidR="00DD6968">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FE3509"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DD6968">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DD6968">
              <w:rPr>
                <w:rFonts w:eastAsia="Arial"/>
                <w:sz w:val="24"/>
                <w:szCs w:val="24"/>
                <w:lang w:eastAsia="ar-SA"/>
              </w:rPr>
              <w:t>2838</w:t>
            </w:r>
            <w:r w:rsidRPr="00127A51">
              <w:rPr>
                <w:rFonts w:eastAsia="Arial"/>
                <w:sz w:val="24"/>
                <w:szCs w:val="24"/>
                <w:lang w:eastAsia="ar-SA"/>
              </w:rPr>
              <w:t xml:space="preserve"> (</w:t>
            </w:r>
            <w:r w:rsidR="00DD6968">
              <w:rPr>
                <w:rFonts w:eastAsia="Arial"/>
                <w:sz w:val="24"/>
                <w:szCs w:val="24"/>
                <w:lang w:eastAsia="ar-SA"/>
              </w:rPr>
              <w:t>Две</w:t>
            </w:r>
            <w:r w:rsidR="00F170F7">
              <w:rPr>
                <w:rFonts w:eastAsia="Arial"/>
                <w:sz w:val="24"/>
                <w:szCs w:val="24"/>
                <w:lang w:eastAsia="ar-SA"/>
              </w:rPr>
              <w:t xml:space="preserve"> тысяч</w:t>
            </w:r>
            <w:r w:rsidR="00DD6968">
              <w:rPr>
                <w:rFonts w:eastAsia="Arial"/>
                <w:sz w:val="24"/>
                <w:szCs w:val="24"/>
                <w:lang w:eastAsia="ar-SA"/>
              </w:rPr>
              <w:t>и</w:t>
            </w:r>
            <w:r w:rsidR="00F170F7">
              <w:rPr>
                <w:rFonts w:eastAsia="Arial"/>
                <w:sz w:val="24"/>
                <w:szCs w:val="24"/>
                <w:lang w:eastAsia="ar-SA"/>
              </w:rPr>
              <w:t xml:space="preserve"> </w:t>
            </w:r>
            <w:r w:rsidR="00DD6968">
              <w:rPr>
                <w:rFonts w:eastAsia="Arial"/>
                <w:sz w:val="24"/>
                <w:szCs w:val="24"/>
                <w:lang w:eastAsia="ar-SA"/>
              </w:rPr>
              <w:t>восемьсот тридцать восемь</w:t>
            </w:r>
            <w:r w:rsidR="00B57084">
              <w:rPr>
                <w:rFonts w:eastAsia="Arial"/>
                <w:sz w:val="24"/>
                <w:szCs w:val="24"/>
                <w:lang w:eastAsia="ar-SA"/>
              </w:rPr>
              <w:t xml:space="preserve"> рублей</w:t>
            </w:r>
            <w:r w:rsidRPr="00127A51">
              <w:rPr>
                <w:rFonts w:eastAsia="Arial"/>
                <w:sz w:val="24"/>
                <w:szCs w:val="24"/>
                <w:lang w:eastAsia="ar-SA"/>
              </w:rPr>
              <w:t xml:space="preserve">) </w:t>
            </w:r>
            <w:r w:rsidR="00DD6968">
              <w:rPr>
                <w:rFonts w:eastAsia="Arial"/>
                <w:sz w:val="24"/>
                <w:szCs w:val="24"/>
                <w:lang w:eastAsia="ar-SA"/>
              </w:rPr>
              <w:t>58</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FE3509" w:rsidP="00DD6968">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2-06T00:00:00Z">
                  <w:dateFormat w:val="dd.MM.yyyy"/>
                  <w:lid w:val="ru-RU"/>
                  <w:storeMappedDataAs w:val="dateTime"/>
                  <w:calendar w:val="gregorian"/>
                </w:date>
              </w:sdtPr>
              <w:sdtContent>
                <w:r w:rsidR="00DD6968">
                  <w:rPr>
                    <w:sz w:val="24"/>
                    <w:szCs w:val="24"/>
                    <w:lang w:eastAsia="ar-SA"/>
                  </w:rPr>
                  <w:t>06.12.2018</w:t>
                </w:r>
              </w:sdtContent>
            </w:sdt>
            <w:r w:rsidR="00DD6968">
              <w:rPr>
                <w:sz w:val="24"/>
                <w:szCs w:val="24"/>
                <w:lang w:eastAsia="ar-SA"/>
              </w:rPr>
              <w:t>в 10</w:t>
            </w:r>
            <w:r w:rsidR="00B036E9" w:rsidRPr="009C701A">
              <w:rPr>
                <w:sz w:val="24"/>
                <w:szCs w:val="24"/>
                <w:lang w:eastAsia="ar-SA"/>
              </w:rPr>
              <w:t xml:space="preserve"> часов </w:t>
            </w:r>
            <w:r w:rsidR="008608D0">
              <w:rPr>
                <w:sz w:val="24"/>
                <w:szCs w:val="24"/>
                <w:lang w:eastAsia="ar-SA"/>
              </w:rPr>
              <w:t>3</w:t>
            </w:r>
            <w:r w:rsidR="00B036E9" w:rsidRPr="009C701A">
              <w:rPr>
                <w:sz w:val="24"/>
                <w:szCs w:val="24"/>
                <w:lang w:eastAsia="ar-SA"/>
              </w:rPr>
              <w:t>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2-07T00:00:00Z">
                <w:dateFormat w:val="dd.MM.yyyy"/>
                <w:lid w:val="ru-RU"/>
                <w:storeMappedDataAs w:val="dateTime"/>
                <w:calendar w:val="gregorian"/>
              </w:date>
            </w:sdtPr>
            <w:sdtContent>
              <w:p w:rsidR="00B036E9" w:rsidRPr="009C701A" w:rsidRDefault="00DD6968" w:rsidP="00DD6968">
                <w:pPr>
                  <w:widowControl w:val="0"/>
                  <w:tabs>
                    <w:tab w:val="left" w:pos="0"/>
                  </w:tabs>
                  <w:suppressAutoHyphens/>
                  <w:autoSpaceDE w:val="0"/>
                  <w:rPr>
                    <w:sz w:val="24"/>
                    <w:szCs w:val="24"/>
                    <w:lang w:eastAsia="ar-SA"/>
                  </w:rPr>
                </w:pPr>
                <w:r>
                  <w:rPr>
                    <w:sz w:val="24"/>
                    <w:szCs w:val="24"/>
                    <w:lang w:eastAsia="ar-SA"/>
                  </w:rPr>
                  <w:t>07.12.2018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FE3509" w:rsidP="00DD6968">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12T00:00:00Z">
                  <w:dateFormat w:val="dd.MM.yyyy"/>
                  <w:lid w:val="ru-RU"/>
                  <w:storeMappedDataAs w:val="dateTime"/>
                  <w:calendar w:val="gregorian"/>
                </w:date>
              </w:sdtPr>
              <w:sdtContent>
                <w:r w:rsidR="00DD6968">
                  <w:rPr>
                    <w:sz w:val="24"/>
                    <w:szCs w:val="24"/>
                    <w:lang w:eastAsia="ar-SA"/>
                  </w:rPr>
                  <w:t>12.12.2018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DD6968">
              <w:rPr>
                <w:sz w:val="24"/>
                <w:szCs w:val="24"/>
              </w:rPr>
              <w:t>14192</w:t>
            </w:r>
            <w:r>
              <w:rPr>
                <w:sz w:val="24"/>
                <w:szCs w:val="24"/>
              </w:rPr>
              <w:t xml:space="preserve"> (</w:t>
            </w:r>
            <w:r w:rsidR="00DD6968">
              <w:rPr>
                <w:sz w:val="24"/>
                <w:szCs w:val="24"/>
              </w:rPr>
              <w:t>Четырнадцать</w:t>
            </w:r>
            <w:r w:rsidR="00152DD0">
              <w:rPr>
                <w:sz w:val="24"/>
                <w:szCs w:val="24"/>
              </w:rPr>
              <w:t xml:space="preserve"> тысяч </w:t>
            </w:r>
            <w:r w:rsidR="00DD6968">
              <w:rPr>
                <w:sz w:val="24"/>
                <w:szCs w:val="24"/>
              </w:rPr>
              <w:t>сто девяносто два</w:t>
            </w:r>
            <w:r w:rsidR="00BA1BD3">
              <w:rPr>
                <w:sz w:val="24"/>
                <w:szCs w:val="24"/>
              </w:rPr>
              <w:t xml:space="preserve"> </w:t>
            </w:r>
            <w:r w:rsidR="00981DB7">
              <w:rPr>
                <w:sz w:val="24"/>
                <w:szCs w:val="24"/>
              </w:rPr>
              <w:t>рубл</w:t>
            </w:r>
            <w:r w:rsidR="00DD6968">
              <w:rPr>
                <w:sz w:val="24"/>
                <w:szCs w:val="24"/>
              </w:rPr>
              <w:t>я</w:t>
            </w:r>
            <w:r>
              <w:rPr>
                <w:sz w:val="24"/>
                <w:szCs w:val="24"/>
              </w:rPr>
              <w:t xml:space="preserve">) </w:t>
            </w:r>
            <w:r w:rsidR="00DD6968">
              <w:rPr>
                <w:sz w:val="24"/>
                <w:szCs w:val="24"/>
              </w:rPr>
              <w:t>90</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152DD0">
              <w:rPr>
                <w:sz w:val="24"/>
                <w:szCs w:val="24"/>
              </w:rPr>
              <w:t xml:space="preserve">приобретению </w:t>
            </w:r>
            <w:r w:rsidR="00DD6968">
              <w:rPr>
                <w:sz w:val="24"/>
                <w:szCs w:val="24"/>
              </w:rPr>
              <w:t>фотостудии</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152DD0" w:rsidP="00DD6968">
            <w:pPr>
              <w:autoSpaceDE w:val="0"/>
              <w:autoSpaceDN w:val="0"/>
              <w:adjustRightInd w:val="0"/>
              <w:jc w:val="both"/>
              <w:rPr>
                <w:color w:val="FF0000"/>
                <w:sz w:val="24"/>
                <w:szCs w:val="24"/>
              </w:rPr>
            </w:pPr>
            <w:r>
              <w:rPr>
                <w:color w:val="000000"/>
                <w:sz w:val="24"/>
                <w:szCs w:val="24"/>
              </w:rPr>
              <w:t xml:space="preserve">Приобретение </w:t>
            </w:r>
            <w:r w:rsidR="00DD6968">
              <w:rPr>
                <w:color w:val="000000"/>
                <w:sz w:val="24"/>
                <w:szCs w:val="24"/>
              </w:rPr>
              <w:t xml:space="preserve">фотостудии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DD6968" w:rsidP="00C7069A">
            <w:pPr>
              <w:rPr>
                <w:sz w:val="24"/>
                <w:szCs w:val="24"/>
              </w:rPr>
            </w:pPr>
            <w:r>
              <w:rPr>
                <w:sz w:val="24"/>
                <w:szCs w:val="24"/>
              </w:rPr>
              <w:t>283858</w:t>
            </w:r>
            <w:r w:rsidR="00AA66A0" w:rsidRPr="00A303B6">
              <w:rPr>
                <w:sz w:val="24"/>
                <w:szCs w:val="24"/>
              </w:rPr>
              <w:t xml:space="preserve"> руб. </w:t>
            </w:r>
            <w:r>
              <w:rPr>
                <w:sz w:val="24"/>
                <w:szCs w:val="24"/>
              </w:rPr>
              <w:t>00</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8608D0">
              <w:rPr>
                <w:sz w:val="24"/>
                <w:szCs w:val="24"/>
                <w:lang w:eastAsia="en-US"/>
              </w:rPr>
              <w:t xml:space="preserve"> до 2</w:t>
            </w:r>
            <w:r w:rsidR="00DD6968">
              <w:rPr>
                <w:sz w:val="24"/>
                <w:szCs w:val="24"/>
                <w:lang w:eastAsia="en-US"/>
              </w:rPr>
              <w:t>8</w:t>
            </w:r>
            <w:r w:rsidR="008608D0">
              <w:rPr>
                <w:sz w:val="24"/>
                <w:szCs w:val="24"/>
                <w:lang w:eastAsia="en-US"/>
              </w:rPr>
              <w:t>.12.2018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4703AC" w:rsidTr="00B71E27">
        <w:tc>
          <w:tcPr>
            <w:tcW w:w="709" w:type="dxa"/>
            <w:tcBorders>
              <w:top w:val="single" w:sz="4" w:space="0" w:color="auto"/>
              <w:left w:val="single" w:sz="4" w:space="0" w:color="auto"/>
              <w:bottom w:val="single" w:sz="4" w:space="0" w:color="auto"/>
              <w:right w:val="single" w:sz="4" w:space="0" w:color="auto"/>
            </w:tcBorders>
            <w:vAlign w:val="center"/>
          </w:tcPr>
          <w:p w:rsidR="00B23A61" w:rsidRPr="004703AC" w:rsidRDefault="00B23A61" w:rsidP="00DE6959">
            <w:pPr>
              <w:tabs>
                <w:tab w:val="left" w:pos="3443"/>
              </w:tabs>
              <w:jc w:val="center"/>
              <w:rPr>
                <w:sz w:val="24"/>
                <w:szCs w:val="24"/>
              </w:rPr>
            </w:pPr>
            <w:r w:rsidRPr="004703AC">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4703AC" w:rsidRDefault="00DD6968" w:rsidP="009601ED">
            <w:pPr>
              <w:tabs>
                <w:tab w:val="left" w:pos="3443"/>
              </w:tabs>
              <w:jc w:val="both"/>
              <w:rPr>
                <w:b/>
                <w:smallCaps/>
                <w:sz w:val="24"/>
                <w:szCs w:val="24"/>
                <w:u w:val="single"/>
              </w:rPr>
            </w:pPr>
            <w:r w:rsidRPr="004703AC">
              <w:rPr>
                <w:b/>
                <w:smallCaps/>
                <w:sz w:val="24"/>
                <w:szCs w:val="24"/>
                <w:u w:val="single"/>
              </w:rPr>
              <w:t>Фотостудия</w:t>
            </w:r>
          </w:p>
          <w:tbl>
            <w:tblPr>
              <w:tblW w:w="4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1"/>
              <w:gridCol w:w="567"/>
              <w:gridCol w:w="425"/>
            </w:tblGrid>
            <w:tr w:rsidR="006E28BD" w:rsidRPr="008C7125" w:rsidTr="006E28BD">
              <w:trPr>
                <w:trHeight w:val="143"/>
              </w:trPr>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6E28BD" w:rsidRPr="006E28BD" w:rsidRDefault="006E28BD" w:rsidP="00C54AFA">
                  <w:pPr>
                    <w:textAlignment w:val="baseline"/>
                  </w:pPr>
                  <w:r w:rsidRPr="006E28BD">
                    <w:t xml:space="preserve">Фотоаппарат. Тип камеры зеркальная. Общее число пикселов не менее 26.9 млн и не более 27.5 млн. Число эффективных пикселов не менее 25.9 млн и не более 26.4 млн. Физический размер матрицы не менее 35.8х23.9 мм и не было 36х24 мм. Кроп-фактор не менее 1 не 2. Максимальное разрешение не менее 6210х4130 и не более 6255х4189. Глубина цвета не менее 41 бит и не более 43 бит. Скорость съёмки не менее 6.4 кадров/с и не более 6.6 кадров/с. Ёмкость аккумулятора не менее 1189 фото и не более 1232 фото. Интерфейсы USB версии не ниже 2.0, HDMI, вход для микрофона, Wi-Fi, Bluetooth, NFC, разъём для ДУ. Размер не менее 142х110х74 мм. Вес не менее 760 г и не более 770 г. </w:t>
                  </w:r>
                </w:p>
              </w:tc>
              <w:tc>
                <w:tcPr>
                  <w:tcW w:w="567" w:type="dxa"/>
                  <w:tcBorders>
                    <w:top w:val="single" w:sz="4" w:space="0" w:color="auto"/>
                    <w:left w:val="single" w:sz="4" w:space="0" w:color="auto"/>
                    <w:bottom w:val="single" w:sz="4" w:space="0" w:color="auto"/>
                    <w:right w:val="single" w:sz="4" w:space="0" w:color="auto"/>
                  </w:tcBorders>
                </w:tcPr>
                <w:p w:rsidR="006E28BD" w:rsidRPr="008C7125" w:rsidRDefault="006E28BD" w:rsidP="00C54AFA">
                  <w:pPr>
                    <w:tabs>
                      <w:tab w:val="left" w:pos="3443"/>
                    </w:tabs>
                    <w:jc w:val="center"/>
                    <w:rPr>
                      <w:sz w:val="18"/>
                      <w:szCs w:val="24"/>
                    </w:rPr>
                  </w:pPr>
                  <w:r w:rsidRPr="008C7125">
                    <w:rPr>
                      <w:sz w:val="18"/>
                      <w:szCs w:val="24"/>
                    </w:rPr>
                    <w:t>шт</w:t>
                  </w:r>
                </w:p>
              </w:tc>
              <w:tc>
                <w:tcPr>
                  <w:tcW w:w="425" w:type="dxa"/>
                  <w:tcBorders>
                    <w:top w:val="single" w:sz="4" w:space="0" w:color="auto"/>
                    <w:left w:val="single" w:sz="4" w:space="0" w:color="auto"/>
                    <w:bottom w:val="single" w:sz="4" w:space="0" w:color="auto"/>
                    <w:right w:val="single" w:sz="4" w:space="0" w:color="auto"/>
                  </w:tcBorders>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311"/>
              </w:trPr>
              <w:tc>
                <w:tcPr>
                  <w:tcW w:w="3181" w:type="dxa"/>
                </w:tcPr>
                <w:p w:rsidR="006E28BD" w:rsidRPr="006E28BD" w:rsidRDefault="006E28BD" w:rsidP="00C54AFA">
                  <w:pPr>
                    <w:textAlignment w:val="baseline"/>
                  </w:pPr>
                  <w:r w:rsidRPr="006E28BD">
                    <w:t>Многофункциональная опора для фотоаппарата. Максимальная нагрузка не менее 3.9 кг и не более 4.1 кг. Головка в комплекте, возможность замены головки, сменная площадка. Уровень. Секций в треноге не менее 3 и не более 4.  Длина в сложенном состоянии не менее 69 см и не более 71 см. Минимальная рабочая высота не менее 41 см и не более 43 см. Макс рабочая высота с центральной штангой не менее 145 см и не более 148 см. Макс рабочая высота без центральной штанги не менее 169 см и не более 172 см. Вес не менее 2.45 кг и не более 2.61 кг</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43"/>
              </w:trPr>
              <w:tc>
                <w:tcPr>
                  <w:tcW w:w="3181" w:type="dxa"/>
                </w:tcPr>
                <w:p w:rsidR="006E28BD" w:rsidRPr="006E28BD" w:rsidRDefault="006E28BD" w:rsidP="00C54AFA">
                  <w:pPr>
                    <w:textAlignment w:val="baseline"/>
                  </w:pPr>
                  <w:r w:rsidRPr="006E28BD">
                    <w:t xml:space="preserve">Объектив. Стандартный зум. Фокусное расстояние от не менее 23-103 мм до не более 25-107 мм. Кратность зума не менее 4.34х и не более 4.44х. Диафрагма от не менее F3.49-F5.58 до не более F3.52-F5.62. Минимальная диафрагма не менее </w:t>
                  </w:r>
                  <w:r w:rsidRPr="006E28BD">
                    <w:rPr>
                      <w:lang w:val="en-US"/>
                    </w:rPr>
                    <w:t>F</w:t>
                  </w:r>
                  <w:r w:rsidRPr="006E28BD">
                    <w:t xml:space="preserve">35 и не более </w:t>
                  </w:r>
                  <w:r w:rsidRPr="006E28BD">
                    <w:rPr>
                      <w:lang w:val="en-US"/>
                    </w:rPr>
                    <w:t>F</w:t>
                  </w:r>
                  <w:r w:rsidRPr="006E28BD">
                    <w:t>37. Полная совместимость с п.1. Число элементов не менее 16 и не более 18. Число групп элементов не менее 13 и не более 14. Число асферических элементов не менее 1. Размер не менее 82х102 мм и не более 84.5х105 мм. Вес не менее 500 г и не более 541 г. Минимальное расстояние фокусировки не менее 0.37 м и не более 0.41 м. Диаметр резьбы не менее 76 мм и не более 78 мм.</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67"/>
              </w:trPr>
              <w:tc>
                <w:tcPr>
                  <w:tcW w:w="3181" w:type="dxa"/>
                </w:tcPr>
                <w:p w:rsidR="006E28BD" w:rsidRPr="006E28BD" w:rsidRDefault="006E28BD" w:rsidP="00C54AFA">
                  <w:pPr>
                    <w:textAlignment w:val="baseline"/>
                  </w:pPr>
                  <w:r w:rsidRPr="006E28BD">
                    <w:t xml:space="preserve">Объектив. Широкоугольный зум объектив. Фокусное расстояние от не менее 16-39 мм до не более 18-41 мм. Кратность зума не менее 2.35х и не более 2.41х. Минимальная диафрагма не менее F21.9 и не более F22.4. Диафрагма не менее </w:t>
                  </w:r>
                  <w:r w:rsidRPr="006E28BD">
                    <w:rPr>
                      <w:lang w:val="en-US"/>
                    </w:rPr>
                    <w:t>F</w:t>
                  </w:r>
                  <w:r w:rsidRPr="006E28BD">
                    <w:t xml:space="preserve">3.9 и не более </w:t>
                  </w:r>
                  <w:r w:rsidRPr="006E28BD">
                    <w:rPr>
                      <w:lang w:val="en-US"/>
                    </w:rPr>
                    <w:t>F</w:t>
                  </w:r>
                  <w:r w:rsidRPr="006E28BD">
                    <w:t xml:space="preserve">4.2. Объектив оснащен автоматической фокусировкой. Полная совместимость с п.1. Число элементов не менее 11 и не более 13. Число групп элементов не менее 9 и не более 10. Число лепестков диафрагмы не менее 6 и не более 8. Размеры не менее 82х95 мм и не более 84х98 мм. Вес не менее 498 г и не более 504 г. Минимальное расстояние фокусировки не менее 0.27 м и не более 0.29 м. Диаметр резьбы для светофильтра не менее 76 мм и не более 78 мм. </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55"/>
              </w:trPr>
              <w:tc>
                <w:tcPr>
                  <w:tcW w:w="3181" w:type="dxa"/>
                </w:tcPr>
                <w:p w:rsidR="006E28BD" w:rsidRPr="006E28BD" w:rsidRDefault="006E28BD" w:rsidP="00C54AFA">
                  <w:pPr>
                    <w:textAlignment w:val="baseline"/>
                  </w:pPr>
                  <w:r w:rsidRPr="006E28BD">
                    <w:t>Фон. Цвет белый. Размер не менее 2.97х5.58 м и не более 3.1х6.2 м. Плотность не менее 247 г/м² и не более 252 г/м². Вес фона не менее 4.2 кг и не более 4.4 кг.</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19"/>
              </w:trPr>
              <w:tc>
                <w:tcPr>
                  <w:tcW w:w="3181" w:type="dxa"/>
                </w:tcPr>
                <w:p w:rsidR="006E28BD" w:rsidRPr="006E28BD" w:rsidRDefault="006E28BD" w:rsidP="00C54AFA">
                  <w:pPr>
                    <w:textAlignment w:val="baseline"/>
                  </w:pPr>
                  <w:r w:rsidRPr="006E28BD">
                    <w:t>Система установки фона. Максимальная высота стойки не менее 258 см и не более 262 см. Минимальная высота стойки не менее 99 см и не более 102 см. Диаметр секций стойки от не менее 24 мм и не более 36 мм. Количество секций стойки не менее 3 и не более 4. Размах треноги не менее 94 см и не более 96 см. Максимальная длина перекладины не менее 298 см и не более 304 см. Размер упаковки не менее 124х19х13 см и не более 128х21х15 см. Вес стойки не менее 2.45 кг и не более 2.52 кг, перекладина не менее 760 г и не более 821 г, комплект с сумкой не менее 6.34 кг и не более 6.51 кг, комплект с упаковкой не менее 7 кг и не более 7.21 кг.</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19"/>
              </w:trPr>
              <w:tc>
                <w:tcPr>
                  <w:tcW w:w="3181" w:type="dxa"/>
                </w:tcPr>
                <w:p w:rsidR="006E28BD" w:rsidRPr="006E28BD" w:rsidRDefault="006E28BD" w:rsidP="00C54AFA">
                  <w:pPr>
                    <w:textAlignment w:val="baseline"/>
                  </w:pPr>
                  <w:r w:rsidRPr="006E28BD">
                    <w:t>Комплект студийного света. Максимальная мощность не менее 397 Дж и не более 410 Дж. Ведущее число не менее 64 и не более 66. Цветовая температура не менее 5300К° и не более 5700К°. Лампа пилотного света не менее 143 Вт и не более 155 Вт. Время перезарядки не менее 1.3 с и не более 1.6 с. Вес моноблока не менее 2.23 кг и не более 2.31 кг. Стойка имеет максимальную высоту не менее 198 см и не более 202 см. Минимальная высота не менее 69 см и не более 71 см. Максимальная нагрузка не менее 3.98 кг и не более 4.12 кг. Крепежный винт не менее 5/8. Софтбокс размером от не менее 59х89 см и не более 61х91 см. Вес не менее 0.817 кг и не более 0.830 кг.</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43"/>
              </w:trPr>
              <w:tc>
                <w:tcPr>
                  <w:tcW w:w="3181" w:type="dxa"/>
                </w:tcPr>
                <w:p w:rsidR="006E28BD" w:rsidRPr="006E28BD" w:rsidRDefault="006E28BD" w:rsidP="00C54AFA">
                  <w:pPr>
                    <w:textAlignment w:val="baseline"/>
                  </w:pPr>
                  <w:r w:rsidRPr="006E28BD">
                    <w:t>Радиосинхронизатор. Совместимость с п.7 и п.1. Рабочая частота не менее 2.37 ГГц и не более 2.42 ГГц. Размер не менее 49х51х99 мм и не более 51х53х101 мм. Вес не менее 79 г и не более 81 г.</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383"/>
              </w:trPr>
              <w:tc>
                <w:tcPr>
                  <w:tcW w:w="3181" w:type="dxa"/>
                </w:tcPr>
                <w:p w:rsidR="006E28BD" w:rsidRPr="006E28BD" w:rsidRDefault="006E28BD" w:rsidP="00C54AFA">
                  <w:pPr>
                    <w:textAlignment w:val="baseline"/>
                  </w:pPr>
                  <w:r w:rsidRPr="006E28BD">
                    <w:t>Карта памяти. Типкартпамяти</w:t>
                  </w:r>
                  <w:r w:rsidRPr="006E28BD">
                    <w:rPr>
                      <w:lang w:val="en-US"/>
                    </w:rPr>
                    <w:t>SecureDigitalXC</w:t>
                  </w:r>
                  <w:r w:rsidRPr="006E28BD">
                    <w:t>. Объем памяти не менее 60 Гб и не более 70 Гб. Скорость записи данных не менее 89 МБ/с и не более 92 МБ/с. Класс скорости не ниже 10.0. Скорость чтения данных не менее 94 МБ/с и не более 97 МБ/с. Скорость обмена данными не менее 631х и не более 635х. Полная совместимость с п.1.</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43"/>
              </w:trPr>
              <w:tc>
                <w:tcPr>
                  <w:tcW w:w="3181" w:type="dxa"/>
                </w:tcPr>
                <w:p w:rsidR="006E28BD" w:rsidRPr="006E28BD" w:rsidRDefault="006E28BD" w:rsidP="00C54AFA">
                  <w:pPr>
                    <w:textAlignment w:val="baseline"/>
                  </w:pPr>
                  <w:r w:rsidRPr="006E28BD">
                    <w:t xml:space="preserve">Картридер внешнего типа с интерфейсом USB версии не ниже 3.0. Поддержка TF, SD, SDHC, SDXC, microSD, microSDHC, microSDXC, MMC. </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r w:rsidR="006E28BD" w:rsidRPr="008C7125" w:rsidTr="006E28BD">
              <w:tblPrEx>
                <w:tblLook w:val="0000"/>
              </w:tblPrEx>
              <w:trPr>
                <w:trHeight w:val="443"/>
              </w:trPr>
              <w:tc>
                <w:tcPr>
                  <w:tcW w:w="3181" w:type="dxa"/>
                </w:tcPr>
                <w:p w:rsidR="006E28BD" w:rsidRPr="006E28BD" w:rsidRDefault="006E28BD" w:rsidP="00C54AFA">
                  <w:pPr>
                    <w:textAlignment w:val="baseline"/>
                  </w:pPr>
                  <w:r w:rsidRPr="006E28BD">
                    <w:t>Сумка для фототехники. Внутренняя высота не менее 41 см и не более 43 см. Внутренняя ширина не менее 11 см и не более 13 см. Внутренняя длина не менее 29 см и не более 32 см. Внешняя высота не менее 44 см и не более 47 см. Внешняя ширина не менее 18 см и не более 20 см. Внешняя длина не менее 31 см и не более 34 см. Вес не менее 1167 и не более 1221 г.</w:t>
                  </w:r>
                </w:p>
              </w:tc>
              <w:tc>
                <w:tcPr>
                  <w:tcW w:w="567" w:type="dxa"/>
                </w:tcPr>
                <w:p w:rsidR="006E28BD" w:rsidRPr="008C7125" w:rsidRDefault="006E28BD" w:rsidP="00C54AFA">
                  <w:pPr>
                    <w:tabs>
                      <w:tab w:val="left" w:pos="3443"/>
                    </w:tabs>
                    <w:jc w:val="center"/>
                    <w:rPr>
                      <w:sz w:val="18"/>
                      <w:szCs w:val="24"/>
                    </w:rPr>
                  </w:pPr>
                  <w:r w:rsidRPr="008C7125">
                    <w:rPr>
                      <w:sz w:val="18"/>
                      <w:szCs w:val="24"/>
                    </w:rPr>
                    <w:t>шт</w:t>
                  </w:r>
                </w:p>
              </w:tc>
              <w:tc>
                <w:tcPr>
                  <w:tcW w:w="425" w:type="dxa"/>
                </w:tcPr>
                <w:p w:rsidR="006E28BD" w:rsidRPr="008C7125" w:rsidRDefault="006E28BD" w:rsidP="00C54AFA">
                  <w:pPr>
                    <w:tabs>
                      <w:tab w:val="left" w:pos="3443"/>
                    </w:tabs>
                    <w:jc w:val="center"/>
                    <w:rPr>
                      <w:sz w:val="18"/>
                      <w:szCs w:val="24"/>
                    </w:rPr>
                  </w:pPr>
                  <w:r w:rsidRPr="008C7125">
                    <w:rPr>
                      <w:sz w:val="18"/>
                      <w:szCs w:val="24"/>
                    </w:rPr>
                    <w:t>1</w:t>
                  </w:r>
                </w:p>
              </w:tc>
            </w:tr>
          </w:tbl>
          <w:p w:rsidR="008D3F24" w:rsidRPr="004703AC" w:rsidRDefault="008D3F24" w:rsidP="009601ED">
            <w:pPr>
              <w:tabs>
                <w:tab w:val="left" w:pos="3443"/>
              </w:tabs>
              <w:jc w:val="both"/>
              <w:rPr>
                <w:sz w:val="24"/>
                <w:szCs w:val="24"/>
              </w:rPr>
            </w:pPr>
          </w:p>
          <w:p w:rsidR="008D3F24" w:rsidRPr="004703AC" w:rsidRDefault="008D3F24" w:rsidP="009601ED">
            <w:pPr>
              <w:tabs>
                <w:tab w:val="left" w:pos="3443"/>
              </w:tabs>
              <w:jc w:val="both"/>
              <w:rPr>
                <w:sz w:val="24"/>
                <w:szCs w:val="24"/>
                <w:u w:val="single"/>
              </w:rPr>
            </w:pPr>
            <w:r w:rsidRPr="004703AC">
              <w:rPr>
                <w:sz w:val="24"/>
                <w:szCs w:val="24"/>
                <w:u w:val="single"/>
              </w:rPr>
              <w:t>или эквивалент с соответствующими характеристиками</w:t>
            </w:r>
          </w:p>
          <w:p w:rsidR="008D3F24" w:rsidRPr="004703AC" w:rsidRDefault="008D3F24" w:rsidP="009601ED">
            <w:pPr>
              <w:tabs>
                <w:tab w:val="left" w:pos="3443"/>
              </w:tabs>
              <w:jc w:val="both"/>
              <w:rPr>
                <w:sz w:val="24"/>
                <w:szCs w:val="24"/>
              </w:rPr>
            </w:pPr>
          </w:p>
          <w:p w:rsidR="002D281A" w:rsidRPr="004703AC" w:rsidRDefault="002D281A" w:rsidP="009601ED">
            <w:pPr>
              <w:tabs>
                <w:tab w:val="left" w:pos="3443"/>
              </w:tabs>
              <w:jc w:val="both"/>
              <w:rPr>
                <w:sz w:val="24"/>
                <w:szCs w:val="24"/>
              </w:rPr>
            </w:pPr>
            <w:r w:rsidRPr="004703AC">
              <w:rPr>
                <w:sz w:val="24"/>
                <w:szCs w:val="24"/>
              </w:rPr>
              <w:t>Участники закупки могут предложить оборудование с улудшенными характеристиками.</w:t>
            </w:r>
          </w:p>
          <w:p w:rsidR="002D281A" w:rsidRPr="004703AC" w:rsidRDefault="002D281A" w:rsidP="009601ED">
            <w:pPr>
              <w:tabs>
                <w:tab w:val="left" w:pos="3443"/>
              </w:tabs>
              <w:jc w:val="both"/>
              <w:rPr>
                <w:sz w:val="24"/>
                <w:szCs w:val="24"/>
              </w:rPr>
            </w:pPr>
          </w:p>
          <w:p w:rsidR="008D3F24" w:rsidRPr="004703AC" w:rsidRDefault="008D3F24" w:rsidP="009601ED">
            <w:pPr>
              <w:tabs>
                <w:tab w:val="left" w:pos="3443"/>
              </w:tabs>
              <w:jc w:val="both"/>
              <w:rPr>
                <w:sz w:val="24"/>
                <w:szCs w:val="24"/>
              </w:rPr>
            </w:pPr>
            <w:r w:rsidRPr="004703AC">
              <w:rPr>
                <w:sz w:val="24"/>
                <w:szCs w:val="24"/>
              </w:rPr>
              <w:t>Поставщик должен обеспечить доставку оборудования, монтаж и пусконаладочные работы.</w:t>
            </w:r>
          </w:p>
          <w:p w:rsidR="008D3F24" w:rsidRPr="004703AC" w:rsidRDefault="008D3F24" w:rsidP="009601ED">
            <w:pPr>
              <w:tabs>
                <w:tab w:val="left" w:pos="3443"/>
              </w:tabs>
              <w:jc w:val="both"/>
              <w:rPr>
                <w:sz w:val="24"/>
                <w:szCs w:val="24"/>
              </w:rPr>
            </w:pPr>
            <w:r w:rsidRPr="004703AC">
              <w:rPr>
                <w:sz w:val="24"/>
                <w:szCs w:val="24"/>
              </w:rPr>
              <w:t>Гарантийный срок на поставляемое оборудование:</w:t>
            </w:r>
          </w:p>
          <w:p w:rsidR="008D3F24" w:rsidRPr="004703AC" w:rsidRDefault="008D3F24" w:rsidP="009601ED">
            <w:pPr>
              <w:tabs>
                <w:tab w:val="left" w:pos="3443"/>
              </w:tabs>
              <w:jc w:val="both"/>
              <w:rPr>
                <w:sz w:val="24"/>
                <w:szCs w:val="24"/>
              </w:rPr>
            </w:pPr>
          </w:p>
          <w:p w:rsidR="00B23A61" w:rsidRPr="004703AC" w:rsidRDefault="00B23A61" w:rsidP="009601ED">
            <w:pPr>
              <w:tabs>
                <w:tab w:val="left" w:pos="3443"/>
              </w:tabs>
              <w:jc w:val="both"/>
              <w:rPr>
                <w:sz w:val="24"/>
                <w:szCs w:val="24"/>
                <w:u w:val="single"/>
              </w:rPr>
            </w:pPr>
          </w:p>
        </w:tc>
        <w:tc>
          <w:tcPr>
            <w:tcW w:w="954" w:type="dxa"/>
            <w:tcBorders>
              <w:top w:val="single" w:sz="4" w:space="0" w:color="auto"/>
              <w:left w:val="single" w:sz="4" w:space="0" w:color="auto"/>
              <w:bottom w:val="single" w:sz="4" w:space="0" w:color="auto"/>
              <w:right w:val="single" w:sz="4" w:space="0" w:color="auto"/>
            </w:tcBorders>
          </w:tcPr>
          <w:p w:rsidR="00B23A61" w:rsidRPr="004703AC" w:rsidRDefault="00F83F57" w:rsidP="00B71E27">
            <w:pPr>
              <w:tabs>
                <w:tab w:val="left" w:pos="3443"/>
              </w:tabs>
              <w:jc w:val="center"/>
              <w:rPr>
                <w:sz w:val="24"/>
                <w:szCs w:val="24"/>
              </w:rPr>
            </w:pPr>
            <w:r w:rsidRPr="004703AC">
              <w:rPr>
                <w:sz w:val="24"/>
                <w:szCs w:val="24"/>
              </w:rPr>
              <w:t>Шт.</w:t>
            </w:r>
          </w:p>
        </w:tc>
        <w:tc>
          <w:tcPr>
            <w:tcW w:w="1120" w:type="dxa"/>
            <w:tcBorders>
              <w:top w:val="single" w:sz="4" w:space="0" w:color="auto"/>
              <w:left w:val="single" w:sz="4" w:space="0" w:color="auto"/>
              <w:bottom w:val="single" w:sz="4" w:space="0" w:color="auto"/>
              <w:right w:val="single" w:sz="4" w:space="0" w:color="auto"/>
            </w:tcBorders>
          </w:tcPr>
          <w:p w:rsidR="00B23A61" w:rsidRPr="004703AC" w:rsidRDefault="00152DD0" w:rsidP="00B71E27">
            <w:pPr>
              <w:tabs>
                <w:tab w:val="left" w:pos="3443"/>
              </w:tabs>
              <w:jc w:val="center"/>
              <w:rPr>
                <w:sz w:val="24"/>
                <w:szCs w:val="24"/>
              </w:rPr>
            </w:pPr>
            <w:r w:rsidRPr="004703AC">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B23A61" w:rsidRPr="004703AC"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4703AC" w:rsidRDefault="00B23A61" w:rsidP="00DE6959">
            <w:pPr>
              <w:tabs>
                <w:tab w:val="left" w:pos="3443"/>
              </w:tabs>
              <w:ind w:right="520"/>
              <w:jc w:val="center"/>
              <w:rPr>
                <w:sz w:val="24"/>
                <w:szCs w:val="24"/>
              </w:rPr>
            </w:pPr>
          </w:p>
        </w:tc>
      </w:tr>
    </w:tbl>
    <w:p w:rsidR="00A40AFC" w:rsidRPr="004703AC" w:rsidRDefault="00A40AFC">
      <w:pPr>
        <w:spacing w:after="200" w:line="276" w:lineRule="auto"/>
        <w:rPr>
          <w:b/>
          <w:sz w:val="23"/>
          <w:szCs w:val="23"/>
          <w:lang w:eastAsia="en-US"/>
        </w:rPr>
      </w:pPr>
      <w:r w:rsidRPr="004703AC">
        <w:rPr>
          <w:b/>
          <w:sz w:val="23"/>
          <w:szCs w:val="23"/>
          <w:lang w:eastAsia="en-US"/>
        </w:rPr>
        <w:br w:type="page"/>
      </w: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7E140D">
        <w:rPr>
          <w:sz w:val="23"/>
          <w:szCs w:val="23"/>
        </w:rPr>
        <w:t xml:space="preserve">поставить </w:t>
      </w:r>
      <w:r w:rsidR="007E140D" w:rsidRPr="007E140D">
        <w:rPr>
          <w:b/>
          <w:sz w:val="23"/>
          <w:szCs w:val="23"/>
        </w:rPr>
        <w:t>фотостудию</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7E140D">
        <w:rPr>
          <w:sz w:val="23"/>
          <w:szCs w:val="23"/>
        </w:rPr>
        <w:t>до 28</w:t>
      </w:r>
      <w:r w:rsidR="008608D0">
        <w:rPr>
          <w:sz w:val="23"/>
          <w:szCs w:val="23"/>
        </w:rPr>
        <w:t>.12.2018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7E140D">
        <w:rPr>
          <w:color w:val="000000"/>
          <w:sz w:val="23"/>
          <w:szCs w:val="23"/>
        </w:rPr>
        <w:t>14192,90</w:t>
      </w:r>
      <w:r w:rsidR="00837E6A" w:rsidRPr="009C701A">
        <w:rPr>
          <w:color w:val="000000"/>
          <w:sz w:val="23"/>
          <w:szCs w:val="23"/>
        </w:rPr>
        <w:t xml:space="preserve"> руб. (</w:t>
      </w:r>
      <w:r w:rsidR="007E140D">
        <w:rPr>
          <w:color w:val="000000"/>
          <w:sz w:val="23"/>
          <w:szCs w:val="23"/>
        </w:rPr>
        <w:t>Четырнадцать</w:t>
      </w:r>
      <w:r w:rsidR="00824279">
        <w:rPr>
          <w:color w:val="000000"/>
          <w:sz w:val="23"/>
          <w:szCs w:val="23"/>
        </w:rPr>
        <w:t xml:space="preserve"> тысяч </w:t>
      </w:r>
      <w:r w:rsidR="007E140D">
        <w:rPr>
          <w:color w:val="000000"/>
          <w:sz w:val="23"/>
          <w:szCs w:val="23"/>
        </w:rPr>
        <w:t>сто девяносто два</w:t>
      </w:r>
      <w:r w:rsidR="00824279">
        <w:rPr>
          <w:color w:val="000000"/>
          <w:sz w:val="23"/>
          <w:szCs w:val="23"/>
        </w:rPr>
        <w:t xml:space="preserve"> рубл</w:t>
      </w:r>
      <w:r w:rsidR="007E140D">
        <w:rPr>
          <w:color w:val="000000"/>
          <w:sz w:val="23"/>
          <w:szCs w:val="23"/>
        </w:rPr>
        <w:t>я</w:t>
      </w:r>
      <w:r w:rsidR="00583468">
        <w:rPr>
          <w:color w:val="000000"/>
          <w:sz w:val="23"/>
          <w:szCs w:val="23"/>
        </w:rPr>
        <w:t xml:space="preserve"> </w:t>
      </w:r>
      <w:r w:rsidR="007E140D">
        <w:rPr>
          <w:color w:val="000000"/>
          <w:sz w:val="23"/>
          <w:szCs w:val="23"/>
        </w:rPr>
        <w:t>90</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7E140D">
        <w:rPr>
          <w:b/>
          <w:sz w:val="24"/>
          <w:szCs w:val="24"/>
        </w:rPr>
        <w:t>фотостудии</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745DBE" w:rsidRDefault="007E140D" w:rsidP="00583468">
            <w:pPr>
              <w:tabs>
                <w:tab w:val="left" w:pos="3443"/>
              </w:tabs>
              <w:jc w:val="center"/>
              <w:rPr>
                <w:sz w:val="24"/>
                <w:szCs w:val="24"/>
              </w:rPr>
            </w:pPr>
            <w:r>
              <w:rPr>
                <w:sz w:val="24"/>
                <w:szCs w:val="24"/>
              </w:rPr>
              <w:t>Фотостудия</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7E140D" w:rsidP="00EB1E5C">
            <w:pPr>
              <w:tabs>
                <w:tab w:val="left" w:pos="3443"/>
              </w:tabs>
              <w:jc w:val="center"/>
              <w:rPr>
                <w:sz w:val="24"/>
                <w:szCs w:val="24"/>
              </w:rPr>
            </w:pPr>
            <w:r>
              <w:rPr>
                <w:sz w:val="24"/>
                <w:szCs w:val="24"/>
              </w:rPr>
              <w:t>282774</w:t>
            </w:r>
            <w:r w:rsidR="00ED61D8">
              <w:rPr>
                <w:sz w:val="24"/>
                <w:szCs w:val="24"/>
              </w:rPr>
              <w:t>,00</w:t>
            </w:r>
          </w:p>
        </w:tc>
        <w:tc>
          <w:tcPr>
            <w:tcW w:w="1417" w:type="dxa"/>
            <w:vAlign w:val="center"/>
          </w:tcPr>
          <w:p w:rsidR="00EB1E5C" w:rsidRPr="00745DBE" w:rsidRDefault="007E140D" w:rsidP="00EB1E5C">
            <w:pPr>
              <w:tabs>
                <w:tab w:val="left" w:pos="3443"/>
              </w:tabs>
              <w:jc w:val="center"/>
              <w:rPr>
                <w:sz w:val="24"/>
                <w:szCs w:val="24"/>
              </w:rPr>
            </w:pPr>
            <w:r>
              <w:rPr>
                <w:sz w:val="24"/>
                <w:szCs w:val="24"/>
              </w:rPr>
              <w:t>310060</w:t>
            </w:r>
            <w:r w:rsidR="00ED61D8">
              <w:rPr>
                <w:sz w:val="24"/>
                <w:szCs w:val="24"/>
              </w:rPr>
              <w:t>,00</w:t>
            </w:r>
          </w:p>
        </w:tc>
        <w:tc>
          <w:tcPr>
            <w:tcW w:w="1418" w:type="dxa"/>
            <w:vAlign w:val="center"/>
          </w:tcPr>
          <w:p w:rsidR="00EB1E5C" w:rsidRPr="00745DBE" w:rsidRDefault="007E140D" w:rsidP="00EB1E5C">
            <w:pPr>
              <w:tabs>
                <w:tab w:val="left" w:pos="3443"/>
              </w:tabs>
              <w:jc w:val="center"/>
              <w:rPr>
                <w:sz w:val="24"/>
                <w:szCs w:val="24"/>
              </w:rPr>
            </w:pPr>
            <w:r>
              <w:rPr>
                <w:sz w:val="24"/>
                <w:szCs w:val="24"/>
              </w:rPr>
              <w:t>248010</w:t>
            </w:r>
            <w:r w:rsidR="00ED61D8">
              <w:rPr>
                <w:sz w:val="24"/>
                <w:szCs w:val="24"/>
              </w:rPr>
              <w:t>,00</w:t>
            </w:r>
          </w:p>
        </w:tc>
        <w:tc>
          <w:tcPr>
            <w:tcW w:w="1417" w:type="dxa"/>
            <w:vAlign w:val="center"/>
          </w:tcPr>
          <w:p w:rsidR="00EB1E5C" w:rsidRPr="00745DBE" w:rsidRDefault="007E140D" w:rsidP="00EB1E5C">
            <w:pPr>
              <w:tabs>
                <w:tab w:val="left" w:pos="3443"/>
              </w:tabs>
              <w:jc w:val="center"/>
              <w:rPr>
                <w:sz w:val="24"/>
                <w:szCs w:val="24"/>
              </w:rPr>
            </w:pPr>
            <w:r>
              <w:rPr>
                <w:sz w:val="24"/>
                <w:szCs w:val="24"/>
              </w:rPr>
              <w:t>283858,00</w:t>
            </w:r>
          </w:p>
        </w:tc>
        <w:tc>
          <w:tcPr>
            <w:tcW w:w="1559" w:type="dxa"/>
            <w:vAlign w:val="center"/>
          </w:tcPr>
          <w:p w:rsidR="00EB1E5C" w:rsidRPr="00745DBE" w:rsidRDefault="0047375D" w:rsidP="00EB1E5C">
            <w:pPr>
              <w:tabs>
                <w:tab w:val="left" w:pos="3443"/>
              </w:tabs>
              <w:jc w:val="center"/>
              <w:rPr>
                <w:sz w:val="24"/>
                <w:szCs w:val="24"/>
              </w:rPr>
            </w:pPr>
            <w:r>
              <w:rPr>
                <w:sz w:val="24"/>
                <w:szCs w:val="24"/>
              </w:rPr>
              <w:t>109621,27</w:t>
            </w:r>
          </w:p>
        </w:tc>
        <w:tc>
          <w:tcPr>
            <w:tcW w:w="1418" w:type="dxa"/>
            <w:vAlign w:val="center"/>
          </w:tcPr>
          <w:p w:rsidR="00EB1E5C" w:rsidRPr="00745DBE" w:rsidRDefault="0047375D" w:rsidP="00EB1E5C">
            <w:pPr>
              <w:tabs>
                <w:tab w:val="left" w:pos="3443"/>
              </w:tabs>
              <w:jc w:val="center"/>
              <w:rPr>
                <w:sz w:val="24"/>
                <w:szCs w:val="24"/>
              </w:rPr>
            </w:pPr>
            <w:r>
              <w:rPr>
                <w:sz w:val="24"/>
                <w:szCs w:val="24"/>
              </w:rPr>
              <w:t>4,02</w:t>
            </w:r>
          </w:p>
        </w:tc>
        <w:tc>
          <w:tcPr>
            <w:tcW w:w="1417" w:type="dxa"/>
            <w:vAlign w:val="center"/>
          </w:tcPr>
          <w:p w:rsidR="00EB1E5C" w:rsidRPr="00745DBE" w:rsidRDefault="007E140D" w:rsidP="00EB1E5C">
            <w:pPr>
              <w:tabs>
                <w:tab w:val="left" w:pos="3443"/>
              </w:tabs>
              <w:jc w:val="center"/>
              <w:rPr>
                <w:sz w:val="24"/>
                <w:szCs w:val="24"/>
              </w:rPr>
            </w:pPr>
            <w:r>
              <w:rPr>
                <w:sz w:val="24"/>
                <w:szCs w:val="24"/>
              </w:rPr>
              <w:t>283858,00</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7E140D" w:rsidP="00EB315C">
            <w:pPr>
              <w:tabs>
                <w:tab w:val="left" w:pos="3443"/>
              </w:tabs>
              <w:jc w:val="center"/>
              <w:rPr>
                <w:b/>
                <w:sz w:val="24"/>
                <w:szCs w:val="24"/>
              </w:rPr>
            </w:pPr>
            <w:r>
              <w:rPr>
                <w:b/>
                <w:sz w:val="24"/>
                <w:szCs w:val="24"/>
              </w:rPr>
              <w:t>283858,00</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CC" w:rsidRDefault="00D936CC" w:rsidP="00751CEB">
      <w:r>
        <w:separator/>
      </w:r>
    </w:p>
  </w:endnote>
  <w:endnote w:type="continuationSeparator" w:id="1">
    <w:p w:rsidR="00D936CC" w:rsidRDefault="00D936CC"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CC" w:rsidRDefault="00D936CC" w:rsidP="00751CEB">
      <w:r>
        <w:separator/>
      </w:r>
    </w:p>
  </w:footnote>
  <w:footnote w:type="continuationSeparator" w:id="1">
    <w:p w:rsidR="00D936CC" w:rsidRDefault="00D936CC"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FC41B96"/>
    <w:multiLevelType w:val="multilevel"/>
    <w:tmpl w:val="DCEE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7">
    <w:nsid w:val="41A50A72"/>
    <w:multiLevelType w:val="multilevel"/>
    <w:tmpl w:val="B3D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A3408"/>
    <w:multiLevelType w:val="multilevel"/>
    <w:tmpl w:val="9F0E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F6D14"/>
    <w:multiLevelType w:val="multilevel"/>
    <w:tmpl w:val="D600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4">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7">
    <w:nsid w:val="706B090E"/>
    <w:multiLevelType w:val="multilevel"/>
    <w:tmpl w:val="2B2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36336"/>
    <w:multiLevelType w:val="multilevel"/>
    <w:tmpl w:val="8BE8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
  </w:num>
  <w:num w:numId="4">
    <w:abstractNumId w:val="3"/>
  </w:num>
  <w:num w:numId="5">
    <w:abstractNumId w:val="16"/>
  </w:num>
  <w:num w:numId="6">
    <w:abstractNumId w:val="14"/>
  </w:num>
  <w:num w:numId="7">
    <w:abstractNumId w:val="8"/>
  </w:num>
  <w:num w:numId="8">
    <w:abstractNumId w:val="19"/>
  </w:num>
  <w:num w:numId="9">
    <w:abstractNumId w:val="15"/>
  </w:num>
  <w:num w:numId="10">
    <w:abstractNumId w:val="5"/>
  </w:num>
  <w:num w:numId="11">
    <w:abstractNumId w:val="13"/>
  </w:num>
  <w:num w:numId="12">
    <w:abstractNumId w:val="10"/>
  </w:num>
  <w:num w:numId="13">
    <w:abstractNumId w:val="11"/>
  </w:num>
  <w:num w:numId="14">
    <w:abstractNumId w:val="18"/>
  </w:num>
  <w:num w:numId="15">
    <w:abstractNumId w:val="4"/>
  </w:num>
  <w:num w:numId="16">
    <w:abstractNumId w:val="7"/>
  </w:num>
  <w:num w:numId="17">
    <w:abstractNumId w:val="17"/>
  </w:num>
  <w:num w:numId="18">
    <w:abstractNumId w:val="9"/>
  </w:num>
  <w:num w:numId="19">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savePreviewPicture/>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67285"/>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52DD0"/>
    <w:rsid w:val="00164A16"/>
    <w:rsid w:val="0016718A"/>
    <w:rsid w:val="00170F38"/>
    <w:rsid w:val="00171715"/>
    <w:rsid w:val="00171E5F"/>
    <w:rsid w:val="0017473B"/>
    <w:rsid w:val="001850D9"/>
    <w:rsid w:val="00197DF4"/>
    <w:rsid w:val="001A1921"/>
    <w:rsid w:val="001A28B2"/>
    <w:rsid w:val="001A7237"/>
    <w:rsid w:val="001B0018"/>
    <w:rsid w:val="001B17CA"/>
    <w:rsid w:val="001B383A"/>
    <w:rsid w:val="001B52A2"/>
    <w:rsid w:val="001B63EA"/>
    <w:rsid w:val="001C03F6"/>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4FED"/>
    <w:rsid w:val="002C30F5"/>
    <w:rsid w:val="002C3DBC"/>
    <w:rsid w:val="002D16D4"/>
    <w:rsid w:val="002D281A"/>
    <w:rsid w:val="002D3FB5"/>
    <w:rsid w:val="002D47F7"/>
    <w:rsid w:val="002D6407"/>
    <w:rsid w:val="002E0343"/>
    <w:rsid w:val="002E1345"/>
    <w:rsid w:val="002E315F"/>
    <w:rsid w:val="002E493B"/>
    <w:rsid w:val="0030117D"/>
    <w:rsid w:val="0030172A"/>
    <w:rsid w:val="00315E14"/>
    <w:rsid w:val="003165C3"/>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00D0"/>
    <w:rsid w:val="00403742"/>
    <w:rsid w:val="00406A97"/>
    <w:rsid w:val="00411839"/>
    <w:rsid w:val="00421872"/>
    <w:rsid w:val="00425241"/>
    <w:rsid w:val="004414F4"/>
    <w:rsid w:val="0045001F"/>
    <w:rsid w:val="00450197"/>
    <w:rsid w:val="00454433"/>
    <w:rsid w:val="00454C82"/>
    <w:rsid w:val="0045741E"/>
    <w:rsid w:val="004611D6"/>
    <w:rsid w:val="004623F0"/>
    <w:rsid w:val="004703AC"/>
    <w:rsid w:val="0047375D"/>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28BD"/>
    <w:rsid w:val="006E6A3F"/>
    <w:rsid w:val="006F738F"/>
    <w:rsid w:val="006F75E5"/>
    <w:rsid w:val="006F77D4"/>
    <w:rsid w:val="00705E4F"/>
    <w:rsid w:val="007219E6"/>
    <w:rsid w:val="007240F2"/>
    <w:rsid w:val="00732B6B"/>
    <w:rsid w:val="00744D2A"/>
    <w:rsid w:val="00751CEB"/>
    <w:rsid w:val="0075207B"/>
    <w:rsid w:val="0075329F"/>
    <w:rsid w:val="007605E1"/>
    <w:rsid w:val="007607F3"/>
    <w:rsid w:val="00764752"/>
    <w:rsid w:val="007676F6"/>
    <w:rsid w:val="007701B2"/>
    <w:rsid w:val="0077738D"/>
    <w:rsid w:val="007835C8"/>
    <w:rsid w:val="00792B2D"/>
    <w:rsid w:val="00796732"/>
    <w:rsid w:val="00797863"/>
    <w:rsid w:val="007A36E7"/>
    <w:rsid w:val="007A4927"/>
    <w:rsid w:val="007B2D15"/>
    <w:rsid w:val="007B3141"/>
    <w:rsid w:val="007C0FC3"/>
    <w:rsid w:val="007C2822"/>
    <w:rsid w:val="007C3039"/>
    <w:rsid w:val="007C4459"/>
    <w:rsid w:val="007E140D"/>
    <w:rsid w:val="007E3331"/>
    <w:rsid w:val="007E33B3"/>
    <w:rsid w:val="007E629C"/>
    <w:rsid w:val="007F2749"/>
    <w:rsid w:val="008048F7"/>
    <w:rsid w:val="0080506F"/>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08D0"/>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6F67"/>
    <w:rsid w:val="00932C86"/>
    <w:rsid w:val="009427E8"/>
    <w:rsid w:val="00943EA8"/>
    <w:rsid w:val="00945B1D"/>
    <w:rsid w:val="00947686"/>
    <w:rsid w:val="00952052"/>
    <w:rsid w:val="009532A6"/>
    <w:rsid w:val="009552B7"/>
    <w:rsid w:val="00957FDB"/>
    <w:rsid w:val="009601ED"/>
    <w:rsid w:val="00966215"/>
    <w:rsid w:val="00970C34"/>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08E"/>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A7857"/>
    <w:rsid w:val="00AB4C2A"/>
    <w:rsid w:val="00AC0FD3"/>
    <w:rsid w:val="00AD53F6"/>
    <w:rsid w:val="00AD6B16"/>
    <w:rsid w:val="00AE1877"/>
    <w:rsid w:val="00AE3F4D"/>
    <w:rsid w:val="00AF135C"/>
    <w:rsid w:val="00B036E9"/>
    <w:rsid w:val="00B11202"/>
    <w:rsid w:val="00B15187"/>
    <w:rsid w:val="00B16AA3"/>
    <w:rsid w:val="00B2007F"/>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E74"/>
    <w:rsid w:val="00BA1BD3"/>
    <w:rsid w:val="00BA31E3"/>
    <w:rsid w:val="00BC2CC8"/>
    <w:rsid w:val="00BC4832"/>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A6250"/>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F2BAD"/>
    <w:rsid w:val="00CF64F0"/>
    <w:rsid w:val="00CF71CC"/>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6CC"/>
    <w:rsid w:val="00D937CA"/>
    <w:rsid w:val="00D97600"/>
    <w:rsid w:val="00DA1019"/>
    <w:rsid w:val="00DA1349"/>
    <w:rsid w:val="00DA2B9C"/>
    <w:rsid w:val="00DA65CC"/>
    <w:rsid w:val="00DB65DE"/>
    <w:rsid w:val="00DC4761"/>
    <w:rsid w:val="00DD5780"/>
    <w:rsid w:val="00DD5D1F"/>
    <w:rsid w:val="00DD6968"/>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3F57"/>
    <w:rsid w:val="00F86559"/>
    <w:rsid w:val="00F86BAA"/>
    <w:rsid w:val="00F87846"/>
    <w:rsid w:val="00F921F5"/>
    <w:rsid w:val="00F92CB2"/>
    <w:rsid w:val="00F95235"/>
    <w:rsid w:val="00F9542B"/>
    <w:rsid w:val="00FB42BA"/>
    <w:rsid w:val="00FB71D1"/>
    <w:rsid w:val="00FC5355"/>
    <w:rsid w:val="00FE1149"/>
    <w:rsid w:val="00FE350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53D91"/>
    <w:rsid w:val="004B4BD0"/>
    <w:rsid w:val="005C048A"/>
    <w:rsid w:val="005E5C1B"/>
    <w:rsid w:val="00606E2C"/>
    <w:rsid w:val="00622F74"/>
    <w:rsid w:val="00667564"/>
    <w:rsid w:val="00667633"/>
    <w:rsid w:val="00687D56"/>
    <w:rsid w:val="006A5873"/>
    <w:rsid w:val="006C7560"/>
    <w:rsid w:val="006F03BD"/>
    <w:rsid w:val="007B57BE"/>
    <w:rsid w:val="007C05F7"/>
    <w:rsid w:val="00871F5E"/>
    <w:rsid w:val="008A25D3"/>
    <w:rsid w:val="008E416F"/>
    <w:rsid w:val="0091322A"/>
    <w:rsid w:val="0098342C"/>
    <w:rsid w:val="009D2A99"/>
    <w:rsid w:val="00A00FE9"/>
    <w:rsid w:val="00A55678"/>
    <w:rsid w:val="00AC1385"/>
    <w:rsid w:val="00BA2983"/>
    <w:rsid w:val="00BD665B"/>
    <w:rsid w:val="00C507E9"/>
    <w:rsid w:val="00CA07A2"/>
    <w:rsid w:val="00D82BD9"/>
    <w:rsid w:val="00DB4F57"/>
    <w:rsid w:val="00E116A6"/>
    <w:rsid w:val="00E86B5D"/>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34</Pages>
  <Words>15299</Words>
  <Characters>87205</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Раздел 1. Инструкция участника закупки</vt:lpstr>
      <vt:lpstr>    А. Введение</vt:lpstr>
      <vt:lpstr>        Статья 1. Заказчик</vt:lpstr>
      <vt:lpstr>        Статья 2. Открытый аукцион в электронной форме, объект закупки. Место, условия и</vt:lpstr>
      <vt:lpstr>        Статья 4. Участники закупки</vt:lpstr>
      <vt:lpstr>        Статья 5. Требования, предъявляемые к Участнику закупки</vt:lpstr>
      <vt:lpstr>        Статья 6. Затраты на участие в Аукционе, обеспечение заявки на участие в Аукцион</vt:lpstr>
      <vt:lpstr>    Б. Документация об Аукционе</vt:lpstr>
      <vt:lpstr>    </vt:lpstr>
      <vt:lpstr>    Статья 7. Порядок предоставления документации</vt:lpstr>
      <vt:lpstr>    </vt:lpstr>
      <vt:lpstr>    7.1. Одновременно с размещением извещения о проведении аукциона Заказчик обеспеч</vt:lpstr>
      <vt:lpstr>    7.2. Документация об аукционе доступна для ознакомления на официальном сайте без</vt:lpstr>
      <vt:lpstr>    </vt:lpstr>
      <vt:lpstr>        Статья 8. Содержание документации об Аукционе</vt:lpstr>
      <vt:lpstr>        </vt:lpstr>
      <vt:lpstr>        Статья 9. Разъяснение положений документации об Аукционе</vt:lpstr>
      <vt:lpstr>        Статья 10. Внесение изменений в извещение о проведении Аукциона и в документацию</vt:lpstr>
      <vt:lpstr/>
      <vt:lpstr>    В. Подготовка Заявки на участие в Аукционе</vt:lpstr>
      <vt:lpstr>        Статья 11. Язык Заявки на участие в Аукционе</vt:lpstr>
      <vt:lpstr>        Статья 12. Документы, входящие в состав Заявки на участие в Аукционе</vt:lpstr>
      <vt:lpstr>    Статья 13. Порядок подачи заявок на участие в открытом аукционе в электронной фо</vt:lpstr>
      <vt:lpstr>    </vt:lpstr>
      <vt:lpstr>    Статья 14. Порядок рассмотрения первых частей заявок на участие в открытом аукци</vt:lpstr>
      <vt:lpstr>    </vt:lpstr>
      <vt:lpstr>    Статья 15. Порядок проведения открытого аукциона в электронной форме</vt:lpstr>
      <vt:lpstr>    </vt:lpstr>
      <vt:lpstr>    Статья 16. Порядок рассмотрения вторых частей заявок на участие в открытом аукци</vt:lpstr>
      <vt:lpstr>    </vt:lpstr>
      <vt:lpstr>    Статья 18. Заключение контракта по результатам открытого аукциона в электронной </vt:lpstr>
      <vt:lpstr>    </vt:lpstr>
      <vt:lpstr>        Раздел 2. Информационная карта</vt:lpstr>
      <vt:lpstr/>
      <vt:lpstr>Раздел 5. Обоснование начальной  (максимальной) цены</vt:lpstr>
    </vt:vector>
  </TitlesOfParts>
  <Company>Microsoft</Company>
  <LinksUpToDate>false</LinksUpToDate>
  <CharactersWithSpaces>102300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138</cp:revision>
  <cp:lastPrinted>2018-11-13T10:05:00Z</cp:lastPrinted>
  <dcterms:created xsi:type="dcterms:W3CDTF">2016-05-04T13:20:00Z</dcterms:created>
  <dcterms:modified xsi:type="dcterms:W3CDTF">2018-11-15T14:13:00Z</dcterms:modified>
</cp:coreProperties>
</file>