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вопросу об Отборочных соревнованиях к НЧ 2019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коллеги, участники Отборочных соревнований к Финалу Национального чемпионата «Молодые профессионалы (Ворлдскиллс Россия) 2019» по компетенции «Предпринимательство»!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Сообщаем, что Отборочные соревнования по нашей компетенции пройдут в г. Ярославле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2 по 11 апреля. 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Заезды команд осуществляются согласно жеребьевки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https://worldskills.ru/nashi-proektyi/chempionatyi/otborochnyie-sorevnovaniya/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Схема проведения заочного этапа: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31 марта 2019 года до 9:00 (время московское)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присылают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(основной состав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sukhanov.da@gmail.com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юниорский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postprogect@gmail.com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экспертизу бизнес-план, цветной информационно-рекламный плакат по проекту, документы подтверждающие открытие ООО/ИП, открытие расчетного счета и движение денежных средств по счету, финансовые расчеты, внешняя рецензия стороннего эксперта, компетентного в теме разработанного проекта (бизнес-плана) на предмет реалистичности и реализуемости данного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проекта (рекомендуемый объем – до 1 страницы шрифт 12 пп, Times New Roman, интервал 1,5 строки).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идео-ролик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проектной идее и команде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видеоролике должен присутствовать логотип WSR в полном соответствии с бренд буком.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видеоролике должна присутствовать начальная заставка не менее 3 секунд (название проекта и фио авторов).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видеоролике должна присутствовать конечная заставка не менее 3 секунд (название проекта + Контакты).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"Вес" ролика не должен превышать 150 мб.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Формат ролика только в формате mp4/avi/mov.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ролике есть ссылка на правомерность используемых аудио и видео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Экспертные группы проводят экспертизу и оценку материа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лов по схеме оценивания модул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А1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G1, H1.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день С-1 (для каждого потока) будет проведен брифинг по БП и присланным документам для оценки авторства и понимания цифр и фактов представленных в бизнес плане.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Схема проведения очного этапа: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 В 2 дня параллельно проводим Отборочные по основной компетенции и юниорам (2 экспертные группы), 2 площадки (в соседних помещениях). По модулям А1, (B1+H1) С1+E1, G1, + спец этап.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 Каждый поток в течении двух дней 16 команд основной компетенции и до 12 юниорских выполняются задания. По результатам на Финал НЧ выходят 8 команд основной компетенции и 5 команд юниорского состава. Окончательное решение по составу участников Финала НЧ принимает Союз ВСР.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  <w:rtl w:val="0"/>
        </w:rPr>
        <w:t xml:space="preserve">SMP план Предпринимательство (основной состав)</w:t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6024"/>
        <w:gridCol w:w="1680"/>
        <w:gridCol w:w="1282"/>
        <w:tblGridChange w:id="0">
          <w:tblGrid>
            <w:gridCol w:w="586"/>
            <w:gridCol w:w="6024"/>
            <w:gridCol w:w="1680"/>
            <w:gridCol w:w="1282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20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Наименование модуля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Рабочее время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задание*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6">
            <w:pPr>
              <w:spacing w:before="1" w:lineRule="auto"/>
              <w:ind w:left="217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2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А1+Н1: Бизнес-план команды – 25% от</w:t>
            </w:r>
          </w:p>
          <w:p w:rsidR="00000000" w:rsidDel="00000000" w:rsidP="00000000" w:rsidRDefault="00000000" w:rsidRPr="00000000" w14:paraId="00000028">
            <w:pPr>
              <w:spacing w:before="48" w:lineRule="auto"/>
              <w:ind w:left="109" w:hanging="19.000000000000004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общей оценки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35" w:lineRule="auto"/>
              <w:ind w:left="63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С-2 (заочно)   С-1 (брифинг)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C">
            <w:pPr>
              <w:spacing w:line="273" w:lineRule="auto"/>
              <w:ind w:left="217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20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В1+Н1: Наша команда и бизнес-идея - 10% от общей оценки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31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68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0">
            <w:pPr>
              <w:spacing w:before="5" w:lineRule="auto"/>
              <w:ind w:left="222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20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C1+ E1: Целевая группа и Маркетинговое планирование - 20% от общей оценки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02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02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4">
            <w:pPr>
              <w:spacing w:before="5" w:lineRule="auto"/>
              <w:ind w:left="222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left="109" w:right="676" w:hanging="19.000000000000004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102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02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час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38">
            <w:pPr>
              <w:spacing w:before="5" w:lineRule="auto"/>
              <w:ind w:left="222" w:hanging="13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52" w:lineRule="auto"/>
              <w:ind w:firstLine="9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Специальное задания - 5% от общей оценки</w:t>
            </w:r>
          </w:p>
          <w:p w:rsidR="00000000" w:rsidDel="00000000" w:rsidP="00000000" w:rsidRDefault="00000000" w:rsidRPr="00000000" w14:paraId="0000003A">
            <w:pPr>
              <w:spacing w:before="52" w:lineRule="auto"/>
              <w:ind w:firstLine="9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07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07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0,5 часа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С-1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16.00-18.00 знакомство с площадкой, инструктажи, сдача БП, плаката, рецензии в твердой копии.</w:t>
        <w:br w:type="textWrapping"/>
        <w:t xml:space="preserve">С 18.00 Брифинг по присланным материалам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8.30 - 9.00 - регистрация на площадке, инструктаж по технике безопасности.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9.00 - 10.00 - выполнение модуля В1+H1 </w:t>
        <w:br w:type="textWrapping"/>
        <w:t xml:space="preserve">10.00 - 12.10 - представление по модулям B1+H1 (16*(5+3))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12.10 - 13.40 - обед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13.40 - 14.40 - выполнение модуля С1+E1 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14.40 - 16.40 - представление по модулям C1+E1 (16*(5+2))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16.40 - 17.00 - брифинг, отъезд участников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17.00 - 20.00 - оценка, подведение итогов дня С1, работа экспертов.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8.30 - 9.00 - регистрация на площадке, инструктаж по технике безопасности.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9.00 - 10.30 - выполнение модуля G1 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10.30 - 12.30 - представление модуля G1 (16*(5+2))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12.30 - 14.00 – обед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14.00 - 14.30 - выполнение спец этапа (без публичной защиты)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14.30 - 14.45 - брифинг, отъезд участников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16.00 - 18.00 - знакомство с площадкой, инструктажи и прочее (следующий поток)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f8fcff" w:val="clear"/>
          <w:rtl w:val="0"/>
        </w:rPr>
        <w:t xml:space="preserve">SMP план Предпринимательство – Юниоры (14-16 лет)</w:t>
      </w:r>
    </w:p>
    <w:p w:rsidR="00000000" w:rsidDel="00000000" w:rsidP="00000000" w:rsidRDefault="00000000" w:rsidRPr="00000000" w14:paraId="0000005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6024"/>
        <w:gridCol w:w="1680"/>
        <w:gridCol w:w="1282"/>
        <w:tblGridChange w:id="0">
          <w:tblGrid>
            <w:gridCol w:w="586"/>
            <w:gridCol w:w="6024"/>
            <w:gridCol w:w="1680"/>
            <w:gridCol w:w="1282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5D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E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Наименование модуля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Рабочее время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62">
            <w:pPr>
              <w:spacing w:line="273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задание*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63">
            <w:pPr>
              <w:spacing w:before="1" w:lineRule="auto"/>
              <w:ind w:left="217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2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А1+Н1: Бизнес-план команды – 25% от</w:t>
            </w:r>
          </w:p>
          <w:p w:rsidR="00000000" w:rsidDel="00000000" w:rsidP="00000000" w:rsidRDefault="00000000" w:rsidRPr="00000000" w14:paraId="00000065">
            <w:pPr>
              <w:spacing w:before="48" w:lineRule="auto"/>
              <w:ind w:left="109" w:hanging="19.000000000000004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общей оценки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135" w:lineRule="auto"/>
              <w:ind w:left="63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С-2 (заочно)   С-1 (брифинг)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68">
            <w:pPr>
              <w:spacing w:line="273" w:lineRule="auto"/>
              <w:ind w:left="217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20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В1+Н1: Наша команда и бизнес-идея - 10% от общей оценки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131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68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час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6C">
            <w:pPr>
              <w:spacing w:before="5" w:lineRule="auto"/>
              <w:ind w:left="222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20" w:lineRule="auto"/>
              <w:ind w:left="75" w:firstLine="1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C1+ E1: Целевая группа и Маркетинговое планирование - 20% от общей оценки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102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02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1,5 часа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0">
            <w:pPr>
              <w:spacing w:before="5" w:lineRule="auto"/>
              <w:ind w:left="222" w:hanging="11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ind w:left="109" w:right="676" w:hanging="19.000000000000004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102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02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час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74">
            <w:pPr>
              <w:spacing w:before="5" w:lineRule="auto"/>
              <w:ind w:left="222" w:hanging="13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52" w:lineRule="auto"/>
              <w:ind w:firstLine="9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Специальное задания - 5% от общей оценки</w:t>
            </w:r>
          </w:p>
          <w:p w:rsidR="00000000" w:rsidDel="00000000" w:rsidP="00000000" w:rsidRDefault="00000000" w:rsidRPr="00000000" w14:paraId="00000076">
            <w:pPr>
              <w:spacing w:before="52" w:lineRule="auto"/>
              <w:ind w:firstLine="9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07" w:lineRule="auto"/>
              <w:ind w:left="62" w:right="88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07" w:lineRule="auto"/>
              <w:ind w:left="206" w:right="225" w:hanging="11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0,5 часа</w:t>
            </w:r>
          </w:p>
        </w:tc>
      </w:tr>
    </w:tbl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* Работа в брифинг зоне не превышает 60 минут.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С-1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16.00-18.00 – регистрация, знакомство с площадкой, инструктажи, сдача БП, плаката, рецензии в твердой копии.</w:t>
        <w:br w:type="textWrapping"/>
        <w:t xml:space="preserve">18.00 – 19.30 - Брифинг Модуль А (12*(5+3))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19.40 – отъезд с площадки ОС участников.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19.40 – 21.00 – работа экспертов.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8.30 - 9.00 - регистрация на площадке, инструктаж по технике безопасности.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9.00 - 10.00 - выполнение модуля В1+H1 </w:t>
        <w:br w:type="textWrapping"/>
        <w:t xml:space="preserve">10.00 - 11.45 - представление по модулям B1+H1 (12*(5+3))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12.00 - 13.30 - обед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13.30 - 15.00 - выполнение модуля С1+E1 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15.00 - 16.25 - представление по модулям C1+E1 (12*(5+2))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16.30 - 17.00 - брифинг, отъезд участников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17.00 - 20.00 - оценка, подведение итогов дня С1, работа экспертов.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8.30 - 9.00 - регистрация на площадке и прочее;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9.00 - 10.30 - выполнение модуля G + специальное задание G</w:t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10.30 - 12.30 - представление модуля G</w:t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12.30 - 13.00 – брифинг, отъезд участников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13.15 - 14.30 - Обед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14.30 - 16.00 - оценка, подведение итогов дня С2, работа экспертов.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16.00 - 18.00 - знакомство с площадкой, инструктажи и прочее (следующий поток)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  <w:rtl w:val="0"/>
        </w:rPr>
        <w:t xml:space="preserve">18.00-20.00 – продолжение работы экспертов.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fill="f8fcff" w:val="clear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63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ldskills.ru/nashi-proektyi/chempionatyi/otborochnyie-sorevnovaniya/" TargetMode="External"/><Relationship Id="rId7" Type="http://schemas.openxmlformats.org/officeDocument/2006/relationships/hyperlink" Target="mailto:sukhanov.da@gmail.com" TargetMode="External"/><Relationship Id="rId8" Type="http://schemas.openxmlformats.org/officeDocument/2006/relationships/hyperlink" Target="mailto:postprog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