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УТВЕРЖДЕНА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332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«___»_____________2016г.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30C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Договора</w:t>
      </w:r>
    </w:p>
    <w:p w:rsidR="004A141D" w:rsidRPr="00B93E00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поставку </w:t>
      </w:r>
      <w:r w:rsidR="00336FDE">
        <w:rPr>
          <w:rFonts w:ascii="Times New Roman" w:eastAsia="Calibri" w:hAnsi="Times New Roman" w:cs="Times New Roman"/>
          <w:b/>
          <w:sz w:val="24"/>
          <w:szCs w:val="24"/>
        </w:rPr>
        <w:t>микроскопа биологического</w:t>
      </w: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8D57B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6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E30ABE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E30ABE">
        <w:fldChar w:fldCharType="begin"/>
      </w:r>
      <w:r w:rsidR="003A47D0" w:rsidRPr="00BE18E5">
        <w:instrText xml:space="preserve"> TOC \o "1-3" \h \z \u </w:instrText>
      </w:r>
      <w:r w:rsidRPr="00E30ABE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B93E00">
        <w:t>3</w:t>
      </w:r>
    </w:p>
    <w:p w:rsidR="00F866B8" w:rsidRPr="00BE18E5" w:rsidRDefault="00E30ABE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E30ABE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E30ABE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30ABE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E30ABE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30CAA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договора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30ABE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30ABE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E30ABE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30ABE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E30ABE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30ABE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E30ABE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30ABE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E30ABE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30ABE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E30ABE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E30ABE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E30ABE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30CAA">
          <w:t>договора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E30ABE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E30ABE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E30ABE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30CAA">
          <w:rPr>
            <w:rStyle w:val="a9"/>
            <w:b/>
            <w:noProof/>
            <w:lang w:eastAsia="en-US"/>
          </w:rPr>
          <w:t>договора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5</w:t>
      </w:r>
    </w:p>
    <w:p w:rsidR="00F866B8" w:rsidRPr="00BE18E5" w:rsidRDefault="00E30ABE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19</w:t>
      </w:r>
    </w:p>
    <w:p w:rsidR="003A47D0" w:rsidRPr="00F35F83" w:rsidRDefault="00E30ABE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7C6A02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7C6A02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Договора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>онной форме, условий исполнения 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7C6A0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в течение </w:t>
      </w:r>
      <w:r w:rsidR="009B619B">
        <w:rPr>
          <w:rFonts w:ascii="Times New Roman" w:eastAsia="Arial" w:hAnsi="Times New Roman" w:cs="Times New Roman"/>
          <w:sz w:val="24"/>
          <w:szCs w:val="24"/>
        </w:rPr>
        <w:t>5 календарных дней после подписания итогового протокола по запросу цен в электронной форме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не позднее чем в течение десяти дней со дня внесения изменений в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31-34-70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Поставка </w:t>
            </w:r>
            <w:r w:rsidR="00336F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микроскопа биологического</w:t>
            </w:r>
            <w:r w:rsidR="00B93E00" w:rsidRPr="00B93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7C6A0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>договора в течение 15 календарных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7C6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 финансируется за счет </w:t>
            </w:r>
            <w:r w:rsid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Договор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</w:p>
          <w:p w:rsidR="0006164B" w:rsidRDefault="00E30ABE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24651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Двадцать четыре тысячи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шестьсот пятьдесят один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ь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00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7C6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Договора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7C6A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договор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E30ABE" w:rsidP="007C6A0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3</w:t>
                </w:r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 xml:space="preserve">0 календарных дней с момента подписания акта приемки оказанных услуг при наличии на счете финансовых ресурсов предназначенных для оплаты обязательств, являющихся предметом настоящего 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Договор</w:t>
                </w:r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а.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      </w: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оборудования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Договора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орых определен документацией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установленным в документации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E30ABE" w:rsidP="00336FDE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6-12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36FDE" w:rsidRPr="00336F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23.12.2016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16:30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E30ABE" w:rsidP="00336FDE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6-12-2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36FDE" w:rsidRPr="00336FD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26.12.2016</w:t>
                </w:r>
              </w:sdtContent>
            </w:sdt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10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4AD0" w:rsidRPr="00A303B6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3B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074AD0" w:rsidRPr="00A303B6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Объектом закупки является право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9C6146" w:rsidRDefault="00454B3A" w:rsidP="00454B3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поставку микроскопа биологического</w:t>
            </w:r>
            <w:r w:rsidR="009C6146" w:rsidRPr="009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нужд ГПОАУ ЯО Ярославского педагогического колледжа</w:t>
            </w:r>
            <w:r w:rsidR="009C6146" w:rsidRPr="009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AD0" w:rsidRPr="009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(см. раздел 2 Технического задания)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74AD0" w:rsidRPr="00FD5578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454B3A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24651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  <w:r w:rsidR="00074A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коп., включая НДС 18%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074AD0" w:rsidRPr="00A303B6" w:rsidRDefault="009C6146" w:rsidP="00074A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образовательного процесса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банковских дней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02, г. Ярославль, ул. Маланова,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12 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поставки Товара:  в течение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календарных дней с даты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074AD0" w:rsidRPr="00A303B6" w:rsidRDefault="00074AD0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включает в  себя стоимость доставки, стоимость разгрузочно-по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грузочных работ, тары, упаковки.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tabs>
                <w:tab w:val="left" w:pos="294"/>
              </w:tabs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 посредством применения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  <w:r w:rsidRPr="00A303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оборудования, качественным (потребительским) и функциональным свойствам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товару См. раздел № 2</w:t>
            </w:r>
          </w:p>
          <w:p w:rsidR="00074AD0" w:rsidRPr="00A303B6" w:rsidRDefault="00074AD0" w:rsidP="009F71E7">
            <w:pPr>
              <w:keepNext/>
              <w:tabs>
                <w:tab w:val="left" w:pos="0"/>
                <w:tab w:val="left" w:pos="189"/>
                <w:tab w:val="left" w:pos="1685"/>
              </w:tabs>
              <w:spacing w:before="120"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Нет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AD0" w:rsidRPr="00A303B6" w:rsidTr="009F71E7">
        <w:trPr>
          <w:trHeight w:val="671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Требования по передаче заказчику технических и иных документов при поставке 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Технические и иные документы предоставляются по запросу Заказчика</w:t>
            </w:r>
          </w:p>
        </w:tc>
      </w:tr>
      <w:tr w:rsidR="00074AD0" w:rsidRPr="00A303B6" w:rsidTr="009F71E7">
        <w:trPr>
          <w:trHeight w:val="556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безопасности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товар должен быть сертифицирован в соответствии с ГОСТами Российской Федерации, разрешающими ее применение на территории Российской Федерации. </w:t>
            </w:r>
          </w:p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Вся продукция должна иметь товарный вид, быть без дефектов, без механических, термических, биологических повреждений, без повреждений водой, без повреждений, вызванных неправильным хранением, транспортировкой или неосторожной выгрузкой и иметь неповрежденную оригинальную упаковку.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сдачи и приемки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внешнему виду упаковки на складе Заказчика в день доставки. Заказчик проверяет поставляемый по Договору товар на соответствие количества, комплектности, качества требованиям, установленным настоящим Договором.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Договору</w:t>
            </w: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74AD0" w:rsidRPr="005F33E8" w:rsidRDefault="00074AD0" w:rsidP="005F33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монтажу поставленного товара, пусконаладочным работам и испытаниям товара на месте у заказчика: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 требуется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техническому обучению поставщиком персонала заказчика работе с поставленным товаром: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 требуется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объему гарантий качества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Гарантийное обслуживание должно осуществляться сервисным центром Поставщика, с расширенным уровнем услуг в течение гарантийного срока:</w:t>
            </w:r>
          </w:p>
          <w:p w:rsidR="00074AD0" w:rsidRPr="00A303B6" w:rsidRDefault="00074AD0" w:rsidP="00074AD0">
            <w:pPr>
              <w:numPr>
                <w:ilvl w:val="0"/>
                <w:numId w:val="22"/>
              </w:numPr>
              <w:spacing w:after="120" w:line="240" w:lineRule="auto"/>
              <w:ind w:left="0" w:hanging="357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В случае возникновения неисправностей, поломок и других недостатков в работе поставляемого оборудования, выезд специалиста к заказчику в течение 5 рабочих дней с момента поступления заявки от Заказчика</w:t>
            </w:r>
          </w:p>
          <w:p w:rsidR="00074AD0" w:rsidRPr="00FD5578" w:rsidRDefault="00074AD0" w:rsidP="00074AD0">
            <w:pPr>
              <w:numPr>
                <w:ilvl w:val="0"/>
                <w:numId w:val="22"/>
              </w:numPr>
              <w:spacing w:after="120" w:line="240" w:lineRule="auto"/>
              <w:ind w:left="0" w:hanging="357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Диагностика и устранение неисправностей на территории Заказчика.</w:t>
            </w:r>
          </w:p>
        </w:tc>
      </w:tr>
      <w:tr w:rsidR="00074AD0" w:rsidRPr="00A303B6" w:rsidTr="009C6146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сроку гарантий:</w:t>
            </w:r>
          </w:p>
        </w:tc>
        <w:tc>
          <w:tcPr>
            <w:tcW w:w="6095" w:type="dxa"/>
            <w:vAlign w:val="center"/>
          </w:tcPr>
          <w:p w:rsidR="00074AD0" w:rsidRPr="00A303B6" w:rsidRDefault="00074AD0" w:rsidP="009C6146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Срок гарантии 12 мес. с даты поставки и ввода в эксплуатацию оборудования.</w:t>
            </w:r>
          </w:p>
          <w:p w:rsidR="00074AD0" w:rsidRPr="00A303B6" w:rsidRDefault="00074AD0" w:rsidP="009C6146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74AD0" w:rsidRDefault="00074AD0" w:rsidP="00074AD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 w:type="page"/>
      </w:r>
    </w:p>
    <w:p w:rsidR="00074AD0" w:rsidRPr="00343758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7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2. Требования к товару</w:t>
      </w:r>
    </w:p>
    <w:p w:rsidR="00074AD0" w:rsidRPr="00343758" w:rsidRDefault="00074AD0" w:rsidP="00074A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5"/>
        <w:gridCol w:w="4238"/>
        <w:gridCol w:w="3686"/>
        <w:gridCol w:w="855"/>
      </w:tblGrid>
      <w:tr w:rsidR="00074AD0" w:rsidRPr="00343758" w:rsidTr="009F71E7">
        <w:trPr>
          <w:trHeight w:val="575"/>
        </w:trPr>
        <w:tc>
          <w:tcPr>
            <w:tcW w:w="308" w:type="pct"/>
            <w:gridSpan w:val="2"/>
            <w:vAlign w:val="center"/>
          </w:tcPr>
          <w:p w:rsidR="00074AD0" w:rsidRPr="00343758" w:rsidRDefault="00074AD0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5" w:type="pct"/>
            <w:vAlign w:val="center"/>
          </w:tcPr>
          <w:p w:rsidR="00074AD0" w:rsidRPr="00343758" w:rsidRDefault="001D3046" w:rsidP="009F7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70" w:type="pct"/>
            <w:vAlign w:val="center"/>
          </w:tcPr>
          <w:p w:rsidR="00074AD0" w:rsidRPr="00343758" w:rsidRDefault="00074AD0" w:rsidP="009F7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457" w:type="pct"/>
            <w:vAlign w:val="center"/>
          </w:tcPr>
          <w:p w:rsidR="00074AD0" w:rsidRPr="00343758" w:rsidRDefault="001A6985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9C6146" w:rsidRPr="00343758" w:rsidTr="00434200">
        <w:trPr>
          <w:trHeight w:val="282"/>
        </w:trPr>
        <w:tc>
          <w:tcPr>
            <w:tcW w:w="308" w:type="pct"/>
            <w:gridSpan w:val="2"/>
            <w:vAlign w:val="center"/>
          </w:tcPr>
          <w:p w:rsidR="009C6146" w:rsidRPr="00343758" w:rsidRDefault="009C6146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5" w:type="pct"/>
            <w:vAlign w:val="center"/>
          </w:tcPr>
          <w:p w:rsidR="00642B19" w:rsidRPr="002476D3" w:rsidRDefault="00434200" w:rsidP="0024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биологический</w:t>
            </w:r>
          </w:p>
          <w:p w:rsidR="009C6146" w:rsidRPr="002476D3" w:rsidRDefault="00642B19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hAnsi="Times New Roman" w:cs="Times New Roman"/>
                <w:sz w:val="24"/>
                <w:szCs w:val="24"/>
              </w:rPr>
              <w:t>(или эквивалент с соответствующими характеристиками)</w:t>
            </w:r>
          </w:p>
        </w:tc>
        <w:tc>
          <w:tcPr>
            <w:tcW w:w="1970" w:type="pct"/>
            <w:vAlign w:val="center"/>
          </w:tcPr>
          <w:p w:rsidR="009C6146" w:rsidRDefault="00434200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Тип – биологический;</w:t>
            </w:r>
          </w:p>
          <w:p w:rsidR="00434200" w:rsidRDefault="00434200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Насадка –</w:t>
            </w:r>
            <w:r w:rsidR="003A3C36">
              <w:rPr>
                <w:shd w:val="clear" w:color="auto" w:fill="FFFFFF"/>
              </w:rPr>
              <w:t xml:space="preserve"> бинокулярная или монокулярная;</w:t>
            </w:r>
          </w:p>
          <w:p w:rsidR="00434200" w:rsidRDefault="00434200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Окуляры – 10;</w:t>
            </w:r>
          </w:p>
          <w:p w:rsidR="00434200" w:rsidRDefault="00434200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Объективы – 4Х,10Х, 25Х, 40Х, 60Х, ахромат;</w:t>
            </w:r>
          </w:p>
          <w:p w:rsidR="00434200" w:rsidRDefault="00434200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Револьверное устройство на 3-4 объектива;</w:t>
            </w:r>
          </w:p>
          <w:p w:rsidR="00434200" w:rsidRDefault="00434200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Предметный столик с зажимами, механический, движение по вертикали и горизонтали;</w:t>
            </w:r>
          </w:p>
          <w:p w:rsidR="00434200" w:rsidRDefault="00434200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Центрируемый конденсор</w:t>
            </w:r>
            <w:r w:rsidR="003A3C36">
              <w:rPr>
                <w:shd w:val="clear" w:color="auto" w:fill="FFFFFF"/>
              </w:rPr>
              <w:t xml:space="preserve"> или ирисовая диафрагма</w:t>
            </w:r>
            <w:r w:rsidR="00DC630F">
              <w:rPr>
                <w:shd w:val="clear" w:color="auto" w:fill="FFFFFF"/>
              </w:rPr>
              <w:t>;</w:t>
            </w:r>
          </w:p>
          <w:p w:rsidR="00DC630F" w:rsidRDefault="00DC630F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Подсветка – светодиодная (лучше с регулировкой яркости);</w:t>
            </w:r>
          </w:p>
          <w:p w:rsidR="00DC630F" w:rsidRDefault="00DC630F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3A3C36">
              <w:rPr>
                <w:shd w:val="clear" w:color="auto" w:fill="FFFFFF"/>
              </w:rPr>
              <w:t>ъемный ЖК-дисплей со слотом для карты памяти;</w:t>
            </w:r>
          </w:p>
          <w:p w:rsidR="003A3C36" w:rsidRPr="002476D3" w:rsidRDefault="003A3C36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 с диафрагмами и цветофильтрами</w:t>
            </w:r>
          </w:p>
        </w:tc>
        <w:tc>
          <w:tcPr>
            <w:tcW w:w="457" w:type="pct"/>
            <w:vAlign w:val="center"/>
          </w:tcPr>
          <w:p w:rsidR="009C6146" w:rsidRPr="002476D3" w:rsidRDefault="00434200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требования к безопасности поставляемых товаров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Товар не должен представлять опасности для жизни и здоровья граждан.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требования к качеству поставляемого товара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C15EBE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Товар должен быть новый с указание гарантийного срока использования.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ar-SA"/>
              </w:rPr>
              <w:t>1</w:t>
            </w: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.4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требования к упаковке поставляемого товара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Товар поставляется в упаковке без нарушения целостности транспортной и фабричной упаковки.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показатели соответствия поставляемого товара и отгрузки товара потребностям Заказчика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7A66E8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1. Поставка товара осуществляется силами и средствами Поставщика, с предоставлением действующих сертификатов соответствия, технических паспортов производителя товара на русском языке, для подтверждения соответствия поставляемого товара характеристикам, указанным в пункте 1 настоящего Технического задания.</w:t>
            </w:r>
          </w:p>
          <w:p w:rsidR="00074AD0" w:rsidRPr="007A66E8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2.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документах. </w:t>
            </w:r>
          </w:p>
          <w:p w:rsidR="00074AD0" w:rsidRPr="007A66E8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3.  Поставка товара должна осуществляться транспортом Поставщика до г. Ярославля</w:t>
            </w:r>
            <w:r w:rsidR="002476D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, ул. Маланова, д. 12а</w:t>
            </w:r>
          </w:p>
          <w:p w:rsidR="00074AD0" w:rsidRPr="007A66E8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4. В случае обнаружения Заказчиком дефектов поставленного товара Поставщик должен заменить дефектный товар в течение </w:t>
            </w:r>
            <w:r w:rsidR="001F53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</w:t>
            </w: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дней со дня получения извещения о выявлении таких дефектов.</w:t>
            </w:r>
          </w:p>
          <w:p w:rsidR="00074AD0" w:rsidRPr="00A303B6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5. В случае обнаружения Заказчиком дефектов в течение гарантийного срока завода изготовителя товара такие дефекты должны быть устранены Поставщиком в течение 10 дней со дня получения извещения о выявлении дефектов.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ar-SA"/>
              </w:rPr>
              <w:t>2</w:t>
            </w:r>
            <w:r w:rsidRPr="00A303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700" w:type="pct"/>
            <w:gridSpan w:val="4"/>
          </w:tcPr>
          <w:p w:rsidR="00074AD0" w:rsidRPr="002476D3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сроку и объему предоставления гарантий качества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ar-SA"/>
              </w:rPr>
              <w:t>2</w:t>
            </w: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.1</w:t>
            </w:r>
          </w:p>
        </w:tc>
        <w:tc>
          <w:tcPr>
            <w:tcW w:w="4700" w:type="pct"/>
            <w:gridSpan w:val="4"/>
          </w:tcPr>
          <w:p w:rsidR="00074AD0" w:rsidRPr="002476D3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476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к объему предоставления гарантий качества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2476D3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Должны быть представлены гарантии </w:t>
            </w:r>
            <w:r w:rsidRPr="0024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весь объем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поставляемых товаров. 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ar-SA"/>
              </w:rPr>
              <w:t>2</w:t>
            </w: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4700" w:type="pct"/>
            <w:gridSpan w:val="4"/>
          </w:tcPr>
          <w:p w:rsidR="00074AD0" w:rsidRPr="002476D3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476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к сроку предоставления гарантий качества 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2476D3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Срок, в течение которого поставщик принимает претензии на обнаруженные дефекты после подписания товарной накладной в объеме, согласно пункту 2.1. Технического Задания должен быть не менее срока годности, установленного 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производителем данного товара.</w:t>
            </w:r>
          </w:p>
        </w:tc>
      </w:tr>
      <w:tr w:rsidR="00454B3A" w:rsidRPr="00264D3C" w:rsidTr="009F71E7">
        <w:trPr>
          <w:trHeight w:val="357"/>
        </w:trPr>
        <w:tc>
          <w:tcPr>
            <w:tcW w:w="300" w:type="pct"/>
          </w:tcPr>
          <w:p w:rsidR="00454B3A" w:rsidRPr="00454B3A" w:rsidRDefault="00454B3A" w:rsidP="00A32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54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lastRenderedPageBreak/>
              <w:t>2</w:t>
            </w:r>
            <w:r w:rsidRPr="00454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4700" w:type="pct"/>
            <w:gridSpan w:val="4"/>
          </w:tcPr>
          <w:p w:rsidR="00454B3A" w:rsidRPr="00454B3A" w:rsidRDefault="00454B3A" w:rsidP="00A32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54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к сроку устранения дефектов </w:t>
            </w:r>
          </w:p>
        </w:tc>
      </w:tr>
      <w:tr w:rsidR="00454B3A" w:rsidRPr="00264D3C" w:rsidTr="009F71E7">
        <w:trPr>
          <w:trHeight w:val="357"/>
        </w:trPr>
        <w:tc>
          <w:tcPr>
            <w:tcW w:w="300" w:type="pct"/>
          </w:tcPr>
          <w:p w:rsidR="00454B3A" w:rsidRPr="00454B3A" w:rsidRDefault="00454B3A" w:rsidP="00A32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454B3A" w:rsidRPr="00454B3A" w:rsidRDefault="00454B3A" w:rsidP="00A325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устранения дефектов с момента получения извещения об обнаружении дефектов должен составлять не более 30 дней с учетом труднодоступности и отдаленности местоположения заказчика.</w:t>
            </w:r>
          </w:p>
        </w:tc>
      </w:tr>
    </w:tbl>
    <w:p w:rsidR="00F55750" w:rsidRPr="001A5B5F" w:rsidRDefault="00F55750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64B" w:rsidRDefault="0006164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A40758" w:rsidRPr="00454B3A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lastRenderedPageBreak/>
        <w:t>4. Проект договора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Договор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«____» ______________ г.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протокола подведения итогов Запроса цен в электронной форме № _____ от _________, 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Договор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 о нижеследующем:</w:t>
      </w: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Предмет Договора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поставить </w:t>
      </w:r>
      <w:r w:rsidR="00434200" w:rsidRPr="00454B3A">
        <w:rPr>
          <w:rFonts w:ascii="Times New Roman" w:hAnsi="Times New Roman" w:cs="Times New Roman"/>
          <w:b/>
          <w:sz w:val="23"/>
          <w:szCs w:val="23"/>
        </w:rPr>
        <w:t>микроскоп биологический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 для нужд ГПОАУ ЯО Ярославского педагогического колледжа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Договором   порядке, форме и размере. 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Цена Договора. Порядок расчетов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Цена Договора составляет _______________ (_________________) рублей ____ копеек, в том числе НДС _ % _____ руб. и включает в  себя стоимость доставки по адресу, указанному в п. 3.2. Договора, стоимость разгрузочно-погрузочных работ, тары, упаковки и иные затраты Поставщика, связанные с исполнением настоящего Договора.</w:t>
      </w:r>
    </w:p>
    <w:p w:rsidR="00A40758" w:rsidRPr="00454B3A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30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454B3A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A40758" w:rsidRPr="00454B3A" w:rsidRDefault="00A40758" w:rsidP="00A40758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Договора в течение 15 календарных дней.   </w:t>
      </w:r>
    </w:p>
    <w:p w:rsidR="00A40758" w:rsidRPr="00454B3A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3.5. Заказчик проверяет поставленный Товар Поставщиком  на  соответствие  требованиям комплектности и качеству, установленных настоящим Договором.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Договора Поставщик несет все связанные с экспертизой Товара расходы.   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3.8.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раво собственности на Товар  переходит к Заказчику в момент подписания Акта сдачи-приемки товара.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A40758" w:rsidRPr="00454B3A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A40758" w:rsidRPr="00454B3A" w:rsidRDefault="00A40758" w:rsidP="00A40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 w:rsidRPr="00454B3A">
        <w:rPr>
          <w:rFonts w:ascii="Times New Roman" w:hAnsi="Times New Roman" w:cs="Times New Roman"/>
          <w:sz w:val="23"/>
          <w:szCs w:val="23"/>
        </w:rPr>
        <w:t>Договором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неустойку в виде пени в размере  0,05 % от суммы задержанного платежа за каждый день просрочки до момента исполнения своих обязательств по оплате. 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 w:rsidRPr="00454B3A">
        <w:rPr>
          <w:rFonts w:ascii="Times New Roman" w:hAnsi="Times New Roman" w:cs="Times New Roman"/>
          <w:sz w:val="23"/>
          <w:szCs w:val="23"/>
        </w:rPr>
        <w:t>Договору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 w:rsidRPr="00454B3A">
        <w:rPr>
          <w:rFonts w:ascii="Times New Roman" w:hAnsi="Times New Roman" w:cs="Times New Roman"/>
          <w:sz w:val="23"/>
          <w:szCs w:val="23"/>
        </w:rPr>
        <w:t>Договору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последний обязан уплатить Заказчику неустойку в размере 0,05% цены Договора и возместить причиненные в результате этого убытки.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 w:rsidRPr="00454B3A">
        <w:rPr>
          <w:rFonts w:ascii="Times New Roman" w:hAnsi="Times New Roman" w:cs="Times New Roman"/>
          <w:sz w:val="23"/>
          <w:szCs w:val="23"/>
        </w:rPr>
        <w:t>Договору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>им Договором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которые могут возникнуть при исполнении настоящего Договора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2476D3" w:rsidRPr="00454B3A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изменения, дополнения и расторжение Договора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7.1. Все изменения и дополнения к настоящему Договору оформляются в письменной форме и подписываются Сторонами Договора.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7.2. Договор,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исполнения Договора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Договор вступает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8.2. Приложение № 1 является неотъемлемой частью настоящего Договора.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8.4. В части не урегулированной настоящим Договором, отношения Сторон регламентируются действующим законодательством РФ. 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8.5.Настоящий Договор составлен в 2 экземплярах, имеющих одинаковую юридическую силу, по одному экземпляру для каждой из Сторон.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9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</w:rPr>
        <w:t>.Адреса, банковские реквизиты и подписи Сторон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A40758" w:rsidRPr="00454B3A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454B3A" w:rsidTr="009F71E7"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A40758" w:rsidRPr="00454B3A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A40758" w:rsidRPr="00454B3A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9036080098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A40758" w:rsidRPr="00454B3A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Договору № ____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_______________ 2016 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83"/>
        <w:gridCol w:w="1417"/>
        <w:gridCol w:w="993"/>
        <w:gridCol w:w="709"/>
        <w:gridCol w:w="1523"/>
      </w:tblGrid>
      <w:tr w:rsidR="00A40758" w:rsidRPr="00454B3A" w:rsidTr="009F71E7">
        <w:tc>
          <w:tcPr>
            <w:tcW w:w="445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9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A40758" w:rsidRPr="00454B3A" w:rsidTr="009F71E7">
        <w:tc>
          <w:tcPr>
            <w:tcW w:w="445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758" w:rsidRPr="00454B3A" w:rsidTr="009F71E7">
        <w:tc>
          <w:tcPr>
            <w:tcW w:w="445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758" w:rsidRPr="00454B3A" w:rsidTr="009F71E7">
        <w:tc>
          <w:tcPr>
            <w:tcW w:w="445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758" w:rsidRPr="00454B3A" w:rsidTr="009F71E7">
        <w:trPr>
          <w:cantSplit/>
        </w:trPr>
        <w:tc>
          <w:tcPr>
            <w:tcW w:w="8047" w:type="dxa"/>
            <w:gridSpan w:val="5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3" w:type="dxa"/>
          </w:tcPr>
          <w:p w:rsidR="00A40758" w:rsidRPr="00454B3A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454B3A" w:rsidTr="009F71E7">
        <w:trPr>
          <w:trHeight w:val="883"/>
        </w:trPr>
        <w:tc>
          <w:tcPr>
            <w:tcW w:w="5240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</w:t>
            </w:r>
            <w:bookmarkStart w:id="54" w:name="_GoBack"/>
            <w:bookmarkEnd w:id="54"/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(максимальной) цены</w:t>
      </w:r>
      <w:bookmarkEnd w:id="55"/>
    </w:p>
    <w:p w:rsidR="0053743C" w:rsidRDefault="0053743C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B93E00" w:rsidRPr="00B93E00" w:rsidRDefault="00B93E00" w:rsidP="00B93E00">
      <w:pPr>
        <w:pStyle w:val="afff4"/>
        <w:keepNext/>
        <w:tabs>
          <w:tab w:val="left" w:pos="10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00">
        <w:rPr>
          <w:rFonts w:ascii="Times New Roman" w:hAnsi="Times New Roman" w:cs="Times New Roman"/>
          <w:b/>
          <w:sz w:val="24"/>
          <w:szCs w:val="24"/>
        </w:rPr>
        <w:t xml:space="preserve">Расчет начальной (максимальной) цены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434200">
        <w:rPr>
          <w:rFonts w:ascii="Times New Roman" w:hAnsi="Times New Roman" w:cs="Times New Roman"/>
          <w:b/>
          <w:sz w:val="24"/>
          <w:szCs w:val="24"/>
        </w:rPr>
        <w:t>микроскопа биологического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B93E00" w:rsidRPr="00B93E00" w:rsidRDefault="00B93E00" w:rsidP="00B93E00">
      <w:pPr>
        <w:pStyle w:val="afff4"/>
        <w:keepNext/>
        <w:numPr>
          <w:ilvl w:val="0"/>
          <w:numId w:val="13"/>
        </w:numPr>
        <w:tabs>
          <w:tab w:val="left" w:pos="10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267"/>
        <w:gridCol w:w="1585"/>
        <w:gridCol w:w="1142"/>
        <w:gridCol w:w="1423"/>
        <w:gridCol w:w="1687"/>
        <w:gridCol w:w="1624"/>
        <w:gridCol w:w="1397"/>
        <w:gridCol w:w="679"/>
        <w:gridCol w:w="900"/>
        <w:gridCol w:w="1537"/>
      </w:tblGrid>
      <w:tr w:rsidR="00B93E00" w:rsidRPr="00B93E00" w:rsidTr="00A05F39">
        <w:trPr>
          <w:trHeight w:val="2013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предложенная участником № 1, руб. ц</w:t>
            </w:r>
            <w:r w:rsidRPr="00B93E00">
              <w:rPr>
                <w:rFonts w:ascii="Calibri" w:hAnsi="Calibri" w:cs="Times New Roman"/>
                <w:color w:val="000000"/>
                <w:sz w:val="24"/>
                <w:szCs w:val="24"/>
              </w:rPr>
              <w:t>₁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предложенная участником № 2, руб. ц</w:t>
            </w:r>
            <w:r w:rsidRPr="00B93E00">
              <w:rPr>
                <w:rFonts w:ascii="Calibri" w:hAnsi="Calibri" w:cs="Times New Roman"/>
                <w:color w:val="000000"/>
                <w:sz w:val="24"/>
                <w:szCs w:val="24"/>
              </w:rPr>
              <w:t>₂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предложенная участником № 3, руб. ц</w:t>
            </w:r>
            <w:r w:rsidRPr="00B93E00">
              <w:rPr>
                <w:rFonts w:ascii="Calibri" w:hAnsi="Calibri" w:cs="Times New Roman"/>
                <w:color w:val="000000"/>
                <w:sz w:val="24"/>
                <w:szCs w:val="24"/>
              </w:rPr>
              <w:t>₃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цена, руб. &lt;Ц&gt;=(ц</w:t>
            </w:r>
            <w:r w:rsidRPr="00B93E00"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  <w:t>₁</w:t>
            </w: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+ц</w:t>
            </w:r>
            <w:r w:rsidRPr="00B93E00"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  <w:t>₂</w:t>
            </w: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+ц</w:t>
            </w:r>
            <w:r w:rsidRPr="00B93E00"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  <w:t>₃</w:t>
            </w: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4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2"/>
            </w:tblGrid>
            <w:tr w:rsidR="00B93E00" w:rsidRPr="00B93E00" w:rsidTr="00B93E00">
              <w:trPr>
                <w:trHeight w:val="2145"/>
                <w:tblCellSpacing w:w="0" w:type="dxa"/>
              </w:trPr>
              <w:tc>
                <w:tcPr>
                  <w:tcW w:w="1432" w:type="dxa"/>
                  <w:shd w:val="clear" w:color="auto" w:fill="auto"/>
                  <w:hideMark/>
                </w:tcPr>
                <w:p w:rsidR="00B93E00" w:rsidRPr="00B93E00" w:rsidRDefault="00B93E00" w:rsidP="00B93E00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3E0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825500</wp:posOffset>
                        </wp:positionV>
                        <wp:extent cx="819150" cy="438150"/>
                        <wp:effectExtent l="19050" t="0" r="0" b="0"/>
                        <wp:wrapNone/>
                        <wp:docPr id="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3E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Среднее квадратичное отклонение, руб.</w:t>
                  </w:r>
                </w:p>
              </w:tc>
            </w:tr>
          </w:tbl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2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99"/>
            </w:tblGrid>
            <w:tr w:rsidR="00B93E00" w:rsidRPr="00B93E00" w:rsidTr="00B93E00">
              <w:trPr>
                <w:trHeight w:val="2145"/>
                <w:tblCellSpacing w:w="0" w:type="dxa"/>
              </w:trPr>
              <w:tc>
                <w:tcPr>
                  <w:tcW w:w="1299" w:type="dxa"/>
                  <w:shd w:val="clear" w:color="auto" w:fill="auto"/>
                  <w:hideMark/>
                </w:tcPr>
                <w:p w:rsidR="00B93E00" w:rsidRPr="00B93E00" w:rsidRDefault="00B93E00" w:rsidP="00B93E00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3E0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825500</wp:posOffset>
                        </wp:positionV>
                        <wp:extent cx="638175" cy="389890"/>
                        <wp:effectExtent l="19050" t="0" r="9525" b="0"/>
                        <wp:wrapNone/>
                        <wp:docPr id="2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3E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Коэффициент вариации, %</w:t>
                  </w:r>
                </w:p>
              </w:tc>
            </w:tr>
          </w:tbl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товара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стоимость, руб.</w:t>
            </w:r>
          </w:p>
        </w:tc>
      </w:tr>
      <w:tr w:rsidR="00B93E00" w:rsidRPr="00B93E00" w:rsidTr="00434200">
        <w:trPr>
          <w:trHeight w:val="114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93E00" w:rsidRPr="00B93E00" w:rsidRDefault="00A05F39" w:rsidP="00226A8F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Микроскоп биологический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3A3C36" w:rsidP="00A05F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24900</w:t>
            </w:r>
            <w:r w:rsidR="00A0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3E00"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3A3C36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24900</w:t>
            </w:r>
            <w:r w:rsidR="00B93E00"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3A3C36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24153</w:t>
            </w:r>
            <w:r w:rsidR="00B93E00"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3A3C36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</w:t>
            </w:r>
            <w:r w:rsidR="00A0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3A3C36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431,28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3A3C36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</w:t>
            </w:r>
            <w:r w:rsidR="00B93E00"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A05F39" w:rsidP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3A3C36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</w:t>
            </w:r>
            <w:r w:rsidR="00A0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93E00" w:rsidRPr="00B93E00" w:rsidTr="00A05F39">
        <w:trPr>
          <w:trHeight w:val="20"/>
        </w:trPr>
        <w:tc>
          <w:tcPr>
            <w:tcW w:w="238" w:type="pct"/>
            <w:shd w:val="clear" w:color="auto" w:fill="auto"/>
            <w:noWrap/>
          </w:tcPr>
          <w:p w:rsidR="00B93E00" w:rsidRPr="00B93E00" w:rsidRDefault="00B93E00" w:rsidP="00B93E0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0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  <w:noWrap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noWrap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noWrap/>
          </w:tcPr>
          <w:p w:rsidR="00B93E00" w:rsidRPr="00B93E00" w:rsidRDefault="003A3C36" w:rsidP="00B93E00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24651</w:t>
            </w:r>
            <w:r w:rsidR="00A05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8F555F" w:rsidRDefault="008F555F" w:rsidP="00434200">
      <w:pPr>
        <w:adjustRightInd w:val="0"/>
        <w:jc w:val="center"/>
        <w:outlineLvl w:val="0"/>
        <w:rPr>
          <w:spacing w:val="-4"/>
        </w:rPr>
      </w:pPr>
    </w:p>
    <w:p w:rsidR="00434200" w:rsidRPr="00434200" w:rsidRDefault="00434200" w:rsidP="00434200">
      <w:pPr>
        <w:adjustRightInd w:val="0"/>
        <w:jc w:val="left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434200">
        <w:rPr>
          <w:rFonts w:ascii="Times New Roman" w:hAnsi="Times New Roman" w:cs="Times New Roman"/>
          <w:spacing w:val="-4"/>
          <w:sz w:val="24"/>
          <w:szCs w:val="24"/>
        </w:rPr>
        <w:t xml:space="preserve">Контрактный управляющий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</w:t>
      </w:r>
      <w:r w:rsidRPr="00434200">
        <w:rPr>
          <w:rFonts w:ascii="Times New Roman" w:hAnsi="Times New Roman" w:cs="Times New Roman"/>
          <w:spacing w:val="-4"/>
          <w:sz w:val="24"/>
          <w:szCs w:val="24"/>
        </w:rPr>
        <w:t>Густякова Л.В.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</w:pP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ИНН, КПП, ОГРН, ОКПО, ОКОПФ, ОКТМО Участника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E1" w:rsidRDefault="00692BE1">
      <w:pPr>
        <w:spacing w:after="0" w:line="240" w:lineRule="auto"/>
      </w:pPr>
      <w:r>
        <w:separator/>
      </w:r>
    </w:p>
  </w:endnote>
  <w:endnote w:type="continuationSeparator" w:id="1">
    <w:p w:rsidR="00692BE1" w:rsidRDefault="0069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E1" w:rsidRDefault="00692BE1">
      <w:pPr>
        <w:spacing w:after="0" w:line="240" w:lineRule="auto"/>
      </w:pPr>
      <w:r>
        <w:separator/>
      </w:r>
    </w:p>
  </w:footnote>
  <w:footnote w:type="continuationSeparator" w:id="1">
    <w:p w:rsidR="00692BE1" w:rsidRDefault="0069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00" w:rsidRDefault="00E30ABE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3420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4200" w:rsidRDefault="004342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9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21"/>
  </w:num>
  <w:num w:numId="6">
    <w:abstractNumId w:val="2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6"/>
  </w:num>
  <w:num w:numId="25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D1080"/>
    <w:rsid w:val="000D59A7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26A8F"/>
    <w:rsid w:val="00236C52"/>
    <w:rsid w:val="00243898"/>
    <w:rsid w:val="002476D3"/>
    <w:rsid w:val="00257D7F"/>
    <w:rsid w:val="00264D3C"/>
    <w:rsid w:val="00271629"/>
    <w:rsid w:val="002733A2"/>
    <w:rsid w:val="0027387F"/>
    <w:rsid w:val="00283A65"/>
    <w:rsid w:val="002B49F4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81C16"/>
    <w:rsid w:val="00381E6E"/>
    <w:rsid w:val="00390EA5"/>
    <w:rsid w:val="003A3C36"/>
    <w:rsid w:val="003A47D0"/>
    <w:rsid w:val="003C6952"/>
    <w:rsid w:val="003D622B"/>
    <w:rsid w:val="003E68D0"/>
    <w:rsid w:val="003F7CF4"/>
    <w:rsid w:val="0042469A"/>
    <w:rsid w:val="00430A4E"/>
    <w:rsid w:val="00434200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504DF6"/>
    <w:rsid w:val="00513E66"/>
    <w:rsid w:val="00534556"/>
    <w:rsid w:val="0053743C"/>
    <w:rsid w:val="00540838"/>
    <w:rsid w:val="00540C5C"/>
    <w:rsid w:val="00544B47"/>
    <w:rsid w:val="005644B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6060B3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2BE1"/>
    <w:rsid w:val="0069357F"/>
    <w:rsid w:val="00696963"/>
    <w:rsid w:val="006A2B03"/>
    <w:rsid w:val="006B6712"/>
    <w:rsid w:val="006B6B48"/>
    <w:rsid w:val="006D19E1"/>
    <w:rsid w:val="006E073E"/>
    <w:rsid w:val="006E4C86"/>
    <w:rsid w:val="00707443"/>
    <w:rsid w:val="007172F4"/>
    <w:rsid w:val="0072669E"/>
    <w:rsid w:val="00731315"/>
    <w:rsid w:val="00735E12"/>
    <w:rsid w:val="00736F6C"/>
    <w:rsid w:val="00743FFB"/>
    <w:rsid w:val="00774414"/>
    <w:rsid w:val="00791274"/>
    <w:rsid w:val="00794DCD"/>
    <w:rsid w:val="007A481A"/>
    <w:rsid w:val="007A66E8"/>
    <w:rsid w:val="007C6A02"/>
    <w:rsid w:val="007D0BB9"/>
    <w:rsid w:val="007F7955"/>
    <w:rsid w:val="00805232"/>
    <w:rsid w:val="00825D23"/>
    <w:rsid w:val="00835F1E"/>
    <w:rsid w:val="00841CDE"/>
    <w:rsid w:val="00844425"/>
    <w:rsid w:val="00844A53"/>
    <w:rsid w:val="0085205D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6C73"/>
    <w:rsid w:val="00942228"/>
    <w:rsid w:val="00956FBD"/>
    <w:rsid w:val="00987C4F"/>
    <w:rsid w:val="00987C65"/>
    <w:rsid w:val="00994D70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F39"/>
    <w:rsid w:val="00A10CAE"/>
    <w:rsid w:val="00A131CE"/>
    <w:rsid w:val="00A14D0D"/>
    <w:rsid w:val="00A27476"/>
    <w:rsid w:val="00A303B6"/>
    <w:rsid w:val="00A40758"/>
    <w:rsid w:val="00A40D0A"/>
    <w:rsid w:val="00A45C72"/>
    <w:rsid w:val="00A47458"/>
    <w:rsid w:val="00A565B9"/>
    <w:rsid w:val="00A574D0"/>
    <w:rsid w:val="00A61727"/>
    <w:rsid w:val="00A743E3"/>
    <w:rsid w:val="00A92130"/>
    <w:rsid w:val="00AA3E4E"/>
    <w:rsid w:val="00AC4302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CBB"/>
    <w:rsid w:val="00B510BB"/>
    <w:rsid w:val="00B57EDB"/>
    <w:rsid w:val="00B71F5E"/>
    <w:rsid w:val="00B75395"/>
    <w:rsid w:val="00B82128"/>
    <w:rsid w:val="00B91DB9"/>
    <w:rsid w:val="00B93E00"/>
    <w:rsid w:val="00BB3527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3BFF"/>
    <w:rsid w:val="00CB4CE9"/>
    <w:rsid w:val="00CC0350"/>
    <w:rsid w:val="00CC35C3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A21CA"/>
    <w:rsid w:val="00DB2644"/>
    <w:rsid w:val="00DC2460"/>
    <w:rsid w:val="00DC630F"/>
    <w:rsid w:val="00DC7B2D"/>
    <w:rsid w:val="00DD682B"/>
    <w:rsid w:val="00DF439A"/>
    <w:rsid w:val="00E03E9E"/>
    <w:rsid w:val="00E06931"/>
    <w:rsid w:val="00E128A7"/>
    <w:rsid w:val="00E2313C"/>
    <w:rsid w:val="00E30ABE"/>
    <w:rsid w:val="00E407D3"/>
    <w:rsid w:val="00E505B6"/>
    <w:rsid w:val="00E53E8F"/>
    <w:rsid w:val="00E54946"/>
    <w:rsid w:val="00E56383"/>
    <w:rsid w:val="00E61132"/>
    <w:rsid w:val="00E636EC"/>
    <w:rsid w:val="00E70F5B"/>
    <w:rsid w:val="00E75ADD"/>
    <w:rsid w:val="00E76001"/>
    <w:rsid w:val="00E760BB"/>
    <w:rsid w:val="00E85617"/>
    <w:rsid w:val="00E85A64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F00250"/>
    <w:rsid w:val="00F02217"/>
    <w:rsid w:val="00F07A2F"/>
    <w:rsid w:val="00F17517"/>
    <w:rsid w:val="00F252E7"/>
    <w:rsid w:val="00F35F83"/>
    <w:rsid w:val="00F4467C"/>
    <w:rsid w:val="00F46801"/>
    <w:rsid w:val="00F51087"/>
    <w:rsid w:val="00F55750"/>
    <w:rsid w:val="00F74A1F"/>
    <w:rsid w:val="00F82595"/>
    <w:rsid w:val="00F866B8"/>
    <w:rsid w:val="00F937C8"/>
    <w:rsid w:val="00FA0635"/>
    <w:rsid w:val="00FA281F"/>
    <w:rsid w:val="00FA3563"/>
    <w:rsid w:val="00FA4737"/>
    <w:rsid w:val="00FA7955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112DE6"/>
    <w:rsid w:val="001230AA"/>
    <w:rsid w:val="0012452F"/>
    <w:rsid w:val="001368B0"/>
    <w:rsid w:val="0018631E"/>
    <w:rsid w:val="00194482"/>
    <w:rsid w:val="001A7013"/>
    <w:rsid w:val="001C2848"/>
    <w:rsid w:val="002557E2"/>
    <w:rsid w:val="002807D1"/>
    <w:rsid w:val="00285829"/>
    <w:rsid w:val="002A000A"/>
    <w:rsid w:val="002E0DD5"/>
    <w:rsid w:val="003436DD"/>
    <w:rsid w:val="003A0307"/>
    <w:rsid w:val="0046053C"/>
    <w:rsid w:val="004E60FD"/>
    <w:rsid w:val="004F5451"/>
    <w:rsid w:val="00543A71"/>
    <w:rsid w:val="005B1B54"/>
    <w:rsid w:val="005D0D9F"/>
    <w:rsid w:val="00602E5B"/>
    <w:rsid w:val="0065134C"/>
    <w:rsid w:val="006D43F2"/>
    <w:rsid w:val="006D5E01"/>
    <w:rsid w:val="006F1412"/>
    <w:rsid w:val="00793516"/>
    <w:rsid w:val="007A5B6A"/>
    <w:rsid w:val="007C25DF"/>
    <w:rsid w:val="00822AAF"/>
    <w:rsid w:val="0089007E"/>
    <w:rsid w:val="008B068A"/>
    <w:rsid w:val="008C40C6"/>
    <w:rsid w:val="00934299"/>
    <w:rsid w:val="009B38DF"/>
    <w:rsid w:val="00A908F3"/>
    <w:rsid w:val="00A95E62"/>
    <w:rsid w:val="00A971B6"/>
    <w:rsid w:val="00AA7019"/>
    <w:rsid w:val="00AD369A"/>
    <w:rsid w:val="00B03D7C"/>
    <w:rsid w:val="00B205A6"/>
    <w:rsid w:val="00B20A64"/>
    <w:rsid w:val="00BA24D5"/>
    <w:rsid w:val="00CB0F1E"/>
    <w:rsid w:val="00D11C11"/>
    <w:rsid w:val="00D5668F"/>
    <w:rsid w:val="00D93738"/>
    <w:rsid w:val="00DA6C5D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989</TotalTime>
  <Pages>20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67</cp:revision>
  <cp:lastPrinted>2016-11-30T05:39:00Z</cp:lastPrinted>
  <dcterms:created xsi:type="dcterms:W3CDTF">2016-03-25T06:36:00Z</dcterms:created>
  <dcterms:modified xsi:type="dcterms:W3CDTF">2016-12-16T05:19:00Z</dcterms:modified>
</cp:coreProperties>
</file>