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56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6561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7F01">
        <w:rPr>
          <w:rFonts w:ascii="Times New Roman" w:hAnsi="Times New Roman" w:cs="Times New Roman"/>
          <w:sz w:val="24"/>
          <w:szCs w:val="24"/>
        </w:rPr>
        <w:t>26034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>Объект закупки –</w:t>
      </w:r>
      <w:r w:rsidR="008C1A71">
        <w:rPr>
          <w:rFonts w:ascii="Times New Roman" w:hAnsi="Times New Roman" w:cs="Times New Roman"/>
          <w:sz w:val="24"/>
          <w:szCs w:val="24"/>
        </w:rPr>
        <w:t xml:space="preserve"> </w:t>
      </w:r>
      <w:r w:rsidR="002515B1">
        <w:rPr>
          <w:rFonts w:ascii="Times New Roman" w:hAnsi="Times New Roman" w:cs="Times New Roman"/>
          <w:bCs/>
          <w:sz w:val="24"/>
          <w:szCs w:val="24"/>
        </w:rPr>
        <w:t xml:space="preserve">образовательная система </w:t>
      </w:r>
      <w:proofErr w:type="spellStart"/>
      <w:r w:rsidR="002515B1">
        <w:rPr>
          <w:rFonts w:ascii="Times New Roman" w:hAnsi="Times New Roman" w:cs="Times New Roman"/>
          <w:bCs/>
          <w:sz w:val="24"/>
          <w:szCs w:val="24"/>
        </w:rPr>
        <w:t>EduQu</w:t>
      </w:r>
      <w:r w:rsidR="002515B1">
        <w:rPr>
          <w:rFonts w:ascii="Times New Roman" w:hAnsi="Times New Roman" w:cs="Times New Roman"/>
          <w:bCs/>
          <w:sz w:val="24"/>
          <w:szCs w:val="24"/>
          <w:lang w:val="en-US"/>
        </w:rPr>
        <w:t>est</w:t>
      </w:r>
      <w:proofErr w:type="spellEnd"/>
      <w:r w:rsidR="00AE714A">
        <w:rPr>
          <w:rFonts w:ascii="Times New Roman" w:hAnsi="Times New Roman" w:cs="Times New Roman"/>
          <w:bCs/>
          <w:sz w:val="24"/>
          <w:szCs w:val="24"/>
        </w:rPr>
        <w:t xml:space="preserve"> для нужд ГПОАУ ЯО Ярославского педагогического 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C7600C">
        <w:rPr>
          <w:rFonts w:ascii="Times New Roman" w:hAnsi="Times New Roman" w:cs="Times New Roman"/>
          <w:sz w:val="24"/>
          <w:szCs w:val="24"/>
        </w:rPr>
        <w:t>поставка</w:t>
      </w:r>
      <w:r w:rsidR="005A3066">
        <w:rPr>
          <w:rFonts w:ascii="Times New Roman" w:hAnsi="Times New Roman" w:cs="Times New Roman"/>
          <w:sz w:val="24"/>
          <w:szCs w:val="24"/>
        </w:rPr>
        <w:t xml:space="preserve"> </w:t>
      </w:r>
      <w:r w:rsidR="002515B1">
        <w:rPr>
          <w:rFonts w:ascii="Times New Roman" w:hAnsi="Times New Roman" w:cs="Times New Roman"/>
          <w:bCs/>
          <w:sz w:val="24"/>
          <w:szCs w:val="24"/>
        </w:rPr>
        <w:t>образовательн</w:t>
      </w:r>
      <w:r w:rsidR="002515B1" w:rsidRPr="002515B1">
        <w:rPr>
          <w:rFonts w:ascii="Times New Roman" w:hAnsi="Times New Roman" w:cs="Times New Roman"/>
          <w:bCs/>
          <w:sz w:val="24"/>
          <w:szCs w:val="24"/>
        </w:rPr>
        <w:t>ой</w:t>
      </w:r>
      <w:r w:rsidR="002515B1">
        <w:rPr>
          <w:rFonts w:ascii="Times New Roman" w:hAnsi="Times New Roman" w:cs="Times New Roman"/>
          <w:bCs/>
          <w:sz w:val="24"/>
          <w:szCs w:val="24"/>
        </w:rPr>
        <w:t xml:space="preserve"> системы </w:t>
      </w:r>
      <w:proofErr w:type="spellStart"/>
      <w:r w:rsidR="002515B1">
        <w:rPr>
          <w:rFonts w:ascii="Times New Roman" w:hAnsi="Times New Roman" w:cs="Times New Roman"/>
          <w:bCs/>
          <w:sz w:val="24"/>
          <w:szCs w:val="24"/>
        </w:rPr>
        <w:t>EduQu</w:t>
      </w:r>
      <w:r w:rsidR="002515B1">
        <w:rPr>
          <w:rFonts w:ascii="Times New Roman" w:hAnsi="Times New Roman" w:cs="Times New Roman"/>
          <w:bCs/>
          <w:sz w:val="24"/>
          <w:szCs w:val="24"/>
          <w:lang w:val="en-US"/>
        </w:rPr>
        <w:t>est</w:t>
      </w:r>
      <w:proofErr w:type="spellEnd"/>
      <w:r w:rsidR="00AE714A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E6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AE714A">
        <w:rPr>
          <w:rFonts w:ascii="Times New Roman" w:hAnsi="Times New Roman" w:cs="Times New Roman"/>
          <w:bCs/>
          <w:sz w:val="24"/>
          <w:szCs w:val="24"/>
        </w:rPr>
        <w:t>поставляемому 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28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746A28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746A28">
        <w:rPr>
          <w:rFonts w:ascii="Times New Roman" w:hAnsi="Times New Roman" w:cs="Times New Roman"/>
          <w:bCs/>
          <w:sz w:val="24"/>
          <w:szCs w:val="24"/>
        </w:rPr>
        <w:t>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746A28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E6626C" w:rsidRDefault="004E412E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Товар поставляется</w:t>
      </w:r>
      <w:r w:rsidR="00AB40FD">
        <w:rPr>
          <w:sz w:val="24"/>
          <w:szCs w:val="24"/>
        </w:rPr>
        <w:t xml:space="preserve"> </w:t>
      </w:r>
      <w:proofErr w:type="gramStart"/>
      <w:r w:rsidR="000F1882" w:rsidRPr="009A67C9">
        <w:rPr>
          <w:sz w:val="24"/>
          <w:szCs w:val="24"/>
        </w:rPr>
        <w:t>с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даты заключения</w:t>
      </w:r>
      <w:proofErr w:type="gramEnd"/>
      <w:r w:rsidR="000F1882" w:rsidRPr="009A67C9">
        <w:rPr>
          <w:sz w:val="24"/>
          <w:szCs w:val="24"/>
        </w:rPr>
        <w:t xml:space="preserve"> контракта</w:t>
      </w:r>
      <w:r w:rsidR="000F1882">
        <w:rPr>
          <w:sz w:val="24"/>
          <w:szCs w:val="24"/>
        </w:rPr>
        <w:t xml:space="preserve"> </w:t>
      </w:r>
      <w:r w:rsidR="008C09BF">
        <w:rPr>
          <w:bCs/>
          <w:spacing w:val="-5"/>
          <w:sz w:val="24"/>
          <w:szCs w:val="24"/>
        </w:rPr>
        <w:t xml:space="preserve">в течение </w:t>
      </w:r>
      <w:r w:rsidR="00A17086">
        <w:rPr>
          <w:bCs/>
          <w:spacing w:val="-5"/>
          <w:sz w:val="24"/>
          <w:szCs w:val="24"/>
        </w:rPr>
        <w:t>15</w:t>
      </w:r>
      <w:r w:rsidR="008C09BF">
        <w:rPr>
          <w:bCs/>
          <w:spacing w:val="-5"/>
          <w:sz w:val="24"/>
          <w:szCs w:val="24"/>
        </w:rPr>
        <w:t xml:space="preserve"> </w:t>
      </w:r>
      <w:r w:rsidR="00AE714A">
        <w:rPr>
          <w:bCs/>
          <w:spacing w:val="-5"/>
          <w:sz w:val="24"/>
          <w:szCs w:val="24"/>
        </w:rPr>
        <w:t>рабочих</w:t>
      </w:r>
      <w:r w:rsidR="008C09BF">
        <w:rPr>
          <w:bCs/>
          <w:spacing w:val="-5"/>
          <w:sz w:val="24"/>
          <w:szCs w:val="24"/>
        </w:rPr>
        <w:t xml:space="preserve"> дней</w:t>
      </w:r>
      <w:r w:rsidR="000F1882" w:rsidRPr="009A67C9">
        <w:rPr>
          <w:sz w:val="24"/>
          <w:szCs w:val="24"/>
        </w:rPr>
        <w:t xml:space="preserve">. </w:t>
      </w:r>
    </w:p>
    <w:p w:rsidR="000F1882" w:rsidRPr="00E6626C" w:rsidRDefault="00AE714A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26C">
        <w:rPr>
          <w:sz w:val="24"/>
          <w:szCs w:val="24"/>
        </w:rPr>
        <w:t xml:space="preserve"> </w:t>
      </w:r>
      <w:r w:rsidR="000F1882" w:rsidRPr="00E6626C">
        <w:rPr>
          <w:sz w:val="24"/>
          <w:szCs w:val="24"/>
        </w:rPr>
        <w:t xml:space="preserve">Место </w:t>
      </w:r>
      <w:r w:rsidR="005A3066">
        <w:rPr>
          <w:sz w:val="24"/>
          <w:szCs w:val="24"/>
        </w:rPr>
        <w:t>поставки товара</w:t>
      </w:r>
      <w:r w:rsidR="000F1882" w:rsidRPr="00E6626C">
        <w:rPr>
          <w:sz w:val="24"/>
          <w:szCs w:val="24"/>
        </w:rPr>
        <w:t xml:space="preserve"> – 1500</w:t>
      </w:r>
      <w:r w:rsidR="008C09BF" w:rsidRPr="00E6626C">
        <w:rPr>
          <w:sz w:val="24"/>
          <w:szCs w:val="24"/>
        </w:rPr>
        <w:t>02</w:t>
      </w:r>
      <w:r w:rsidR="000F1882" w:rsidRPr="00E6626C">
        <w:rPr>
          <w:sz w:val="24"/>
          <w:szCs w:val="24"/>
        </w:rPr>
        <w:t xml:space="preserve"> г. Ярославль, ул. Маланова, д. 1</w:t>
      </w:r>
      <w:r w:rsidR="008C09BF" w:rsidRPr="00E6626C">
        <w:rPr>
          <w:sz w:val="24"/>
          <w:szCs w:val="24"/>
        </w:rPr>
        <w:t>2а</w:t>
      </w:r>
      <w:r w:rsidR="000F1882" w:rsidRPr="00E6626C">
        <w:rPr>
          <w:sz w:val="24"/>
          <w:szCs w:val="24"/>
        </w:rPr>
        <w:t>.</w:t>
      </w:r>
      <w:r w:rsidR="000F1882" w:rsidRPr="00E6626C">
        <w:rPr>
          <w:bCs/>
          <w:sz w:val="24"/>
          <w:szCs w:val="24"/>
        </w:rPr>
        <w:t xml:space="preserve"> </w:t>
      </w:r>
    </w:p>
    <w:p w:rsidR="000F1882" w:rsidRPr="00AE714A" w:rsidRDefault="000F1882" w:rsidP="00E662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F27AF3">
        <w:rPr>
          <w:sz w:val="24"/>
          <w:szCs w:val="24"/>
        </w:rPr>
        <w:t>326333,33</w:t>
      </w:r>
      <w:r w:rsidR="00AE714A" w:rsidRPr="00AE714A">
        <w:rPr>
          <w:sz w:val="24"/>
          <w:szCs w:val="24"/>
        </w:rPr>
        <w:t xml:space="preserve"> </w:t>
      </w:r>
      <w:r w:rsidRPr="00AE714A">
        <w:rPr>
          <w:sz w:val="24"/>
          <w:szCs w:val="24"/>
        </w:rPr>
        <w:t>руб., в т.ч</w:t>
      </w:r>
      <w:r w:rsidR="00F27AF3">
        <w:rPr>
          <w:sz w:val="24"/>
          <w:szCs w:val="24"/>
        </w:rPr>
        <w:t>.</w:t>
      </w:r>
      <w:r w:rsidRPr="00AE714A">
        <w:rPr>
          <w:sz w:val="24"/>
          <w:szCs w:val="24"/>
        </w:rPr>
        <w:t xml:space="preserve"> НДС.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E6626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A3066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E662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электронном аукционе направляется участником такого аукциона оператору электронной площадки, адрес которой указан в настоящем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731C4B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D27E96">
        <w:rPr>
          <w:rFonts w:ascii="Times New Roman" w:hAnsi="Times New Roman" w:cs="Times New Roman"/>
          <w:sz w:val="24"/>
          <w:szCs w:val="24"/>
        </w:rPr>
        <w:t>0</w:t>
      </w:r>
      <w:r w:rsidR="00C7600C">
        <w:rPr>
          <w:rFonts w:ascii="Times New Roman" w:hAnsi="Times New Roman" w:cs="Times New Roman"/>
          <w:sz w:val="24"/>
          <w:szCs w:val="24"/>
        </w:rPr>
        <w:t>8</w:t>
      </w:r>
      <w:r w:rsidRPr="00731C4B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992DF8">
        <w:rPr>
          <w:rFonts w:ascii="Times New Roman" w:hAnsi="Times New Roman" w:cs="Times New Roman"/>
          <w:sz w:val="24"/>
          <w:szCs w:val="24"/>
        </w:rPr>
        <w:t>0</w:t>
      </w:r>
      <w:r w:rsidRPr="00731C4B">
        <w:rPr>
          <w:rFonts w:ascii="Times New Roman" w:hAnsi="Times New Roman" w:cs="Times New Roman"/>
          <w:sz w:val="24"/>
          <w:szCs w:val="24"/>
        </w:rPr>
        <w:t>.201</w:t>
      </w:r>
      <w:r w:rsidR="0065611B">
        <w:rPr>
          <w:rFonts w:ascii="Times New Roman" w:hAnsi="Times New Roman" w:cs="Times New Roman"/>
          <w:sz w:val="24"/>
          <w:szCs w:val="24"/>
        </w:rPr>
        <w:t>8</w:t>
      </w:r>
      <w:r w:rsidRPr="00731C4B">
        <w:rPr>
          <w:rFonts w:ascii="Times New Roman" w:hAnsi="Times New Roman" w:cs="Times New Roman"/>
          <w:sz w:val="24"/>
          <w:szCs w:val="24"/>
        </w:rPr>
        <w:t xml:space="preserve">, </w:t>
      </w:r>
      <w:r w:rsidR="00F27AF3">
        <w:rPr>
          <w:rFonts w:ascii="Times New Roman" w:hAnsi="Times New Roman" w:cs="Times New Roman"/>
          <w:sz w:val="24"/>
          <w:szCs w:val="24"/>
        </w:rPr>
        <w:t>09</w:t>
      </w:r>
      <w:r w:rsidRPr="00731C4B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</w:t>
      </w:r>
      <w:r w:rsidRPr="008B1CE8">
        <w:rPr>
          <w:rFonts w:ascii="Times New Roman" w:hAnsi="Times New Roman" w:cs="Times New Roman"/>
          <w:sz w:val="24"/>
          <w:szCs w:val="24"/>
        </w:rPr>
        <w:t xml:space="preserve">–  </w:t>
      </w:r>
      <w:r w:rsidR="00C7600C">
        <w:rPr>
          <w:rFonts w:ascii="Times New Roman" w:hAnsi="Times New Roman" w:cs="Times New Roman"/>
          <w:sz w:val="24"/>
          <w:szCs w:val="24"/>
        </w:rPr>
        <w:t>10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23270D">
        <w:rPr>
          <w:rFonts w:ascii="Times New Roman" w:hAnsi="Times New Roman" w:cs="Times New Roman"/>
          <w:sz w:val="24"/>
          <w:szCs w:val="24"/>
        </w:rPr>
        <w:t>0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r w:rsidR="00FF055A">
        <w:rPr>
          <w:rFonts w:ascii="Times New Roman" w:hAnsi="Times New Roman" w:cs="Times New Roman"/>
          <w:sz w:val="24"/>
          <w:szCs w:val="24"/>
        </w:rPr>
        <w:t>8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</w:t>
      </w:r>
      <w:r w:rsidRPr="008B1C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B1CE8">
        <w:rPr>
          <w:rFonts w:ascii="Times New Roman" w:hAnsi="Times New Roman" w:cs="Times New Roman"/>
          <w:sz w:val="24"/>
          <w:szCs w:val="24"/>
        </w:rPr>
        <w:t xml:space="preserve">– </w:t>
      </w:r>
      <w:r w:rsidR="00992DF8">
        <w:rPr>
          <w:rFonts w:ascii="Times New Roman" w:hAnsi="Times New Roman" w:cs="Times New Roman"/>
          <w:sz w:val="24"/>
          <w:szCs w:val="24"/>
        </w:rPr>
        <w:t>15</w:t>
      </w:r>
      <w:r w:rsid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10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FF055A">
        <w:rPr>
          <w:rFonts w:ascii="Times New Roman" w:hAnsi="Times New Roman" w:cs="Times New Roman"/>
          <w:sz w:val="24"/>
          <w:szCs w:val="24"/>
        </w:rPr>
        <w:t>8</w:t>
      </w:r>
      <w:r w:rsidR="008B1CE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электронной площадки.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колледж,</w:t>
      </w:r>
      <w:r w:rsidR="00FF0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92DF8">
        <w:rPr>
          <w:rFonts w:ascii="Times New Roman" w:hAnsi="Times New Roman" w:cs="Times New Roman"/>
          <w:sz w:val="24"/>
          <w:szCs w:val="24"/>
        </w:rPr>
        <w:t xml:space="preserve">поставке </w:t>
      </w:r>
      <w:r w:rsidR="002B6705">
        <w:rPr>
          <w:rFonts w:ascii="Times New Roman" w:hAnsi="Times New Roman" w:cs="Times New Roman"/>
          <w:bCs/>
          <w:sz w:val="24"/>
          <w:szCs w:val="24"/>
        </w:rPr>
        <w:t>образовательн</w:t>
      </w:r>
      <w:r w:rsidR="002B6705" w:rsidRPr="002515B1">
        <w:rPr>
          <w:rFonts w:ascii="Times New Roman" w:hAnsi="Times New Roman" w:cs="Times New Roman"/>
          <w:bCs/>
          <w:sz w:val="24"/>
          <w:szCs w:val="24"/>
        </w:rPr>
        <w:t>ой</w:t>
      </w:r>
      <w:r w:rsidR="002B6705">
        <w:rPr>
          <w:rFonts w:ascii="Times New Roman" w:hAnsi="Times New Roman" w:cs="Times New Roman"/>
          <w:bCs/>
          <w:sz w:val="24"/>
          <w:szCs w:val="24"/>
        </w:rPr>
        <w:t xml:space="preserve"> системы </w:t>
      </w:r>
      <w:proofErr w:type="spellStart"/>
      <w:r w:rsidR="002B6705">
        <w:rPr>
          <w:rFonts w:ascii="Times New Roman" w:hAnsi="Times New Roman" w:cs="Times New Roman"/>
          <w:bCs/>
          <w:sz w:val="24"/>
          <w:szCs w:val="24"/>
        </w:rPr>
        <w:t>EduQu</w:t>
      </w:r>
      <w:r w:rsidR="002B6705">
        <w:rPr>
          <w:rFonts w:ascii="Times New Roman" w:hAnsi="Times New Roman" w:cs="Times New Roman"/>
          <w:bCs/>
          <w:sz w:val="24"/>
          <w:szCs w:val="24"/>
          <w:lang w:val="en-US"/>
        </w:rPr>
        <w:t>est</w:t>
      </w:r>
      <w:proofErr w:type="spellEnd"/>
      <w:r w:rsidR="002B6705">
        <w:rPr>
          <w:rFonts w:ascii="Times New Roman" w:hAnsi="Times New Roman" w:cs="Times New Roman"/>
          <w:sz w:val="24"/>
          <w:szCs w:val="24"/>
        </w:rPr>
        <w:t xml:space="preserve"> </w:t>
      </w:r>
      <w:r w:rsidR="008B1CE8">
        <w:rPr>
          <w:rFonts w:ascii="Times New Roman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»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0F5" w:rsidRPr="009A67C9">
        <w:rPr>
          <w:sz w:val="24"/>
          <w:szCs w:val="24"/>
        </w:rPr>
        <w:t xml:space="preserve"> </w:t>
      </w:r>
    </w:p>
    <w:p w:rsidR="000F1882" w:rsidRPr="004E412E" w:rsidRDefault="000F1882" w:rsidP="004E412E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E412E" w:rsidRPr="004E412E" w:rsidRDefault="004E412E" w:rsidP="004E412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 w:rsidR="00B754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4E412E" w:rsidRPr="004E412E" w:rsidRDefault="004E412E" w:rsidP="004E412E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</w:t>
      </w:r>
      <w:r w:rsidRPr="004E412E">
        <w:rPr>
          <w:sz w:val="24"/>
          <w:szCs w:val="24"/>
        </w:rPr>
        <w:lastRenderedPageBreak/>
        <w:t>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 w:rsidR="00E623DA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 w:rsidR="00B75474"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4E412E" w:rsidRPr="004E412E" w:rsidTr="00C95582">
        <w:trPr>
          <w:tblCellSpacing w:w="15" w:type="dxa"/>
        </w:trPr>
        <w:tc>
          <w:tcPr>
            <w:tcW w:w="19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593740" w:rsidRDefault="00593740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E412E" w:rsidRDefault="004E412E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 w:rsidR="00B75474"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4E412E" w:rsidRPr="004E412E" w:rsidTr="00C95582">
        <w:trPr>
          <w:tblCellSpacing w:w="15" w:type="dxa"/>
        </w:trPr>
        <w:tc>
          <w:tcPr>
            <w:tcW w:w="35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43536A" w:rsidRPr="004E412E" w:rsidRDefault="004E412E" w:rsidP="00B7547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сниженной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sectPr w:rsidR="0043536A" w:rsidRPr="004E412E" w:rsidSect="002506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6C2894A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100F5"/>
    <w:rsid w:val="00074F06"/>
    <w:rsid w:val="000A7A8B"/>
    <w:rsid w:val="000D5A26"/>
    <w:rsid w:val="000F1882"/>
    <w:rsid w:val="00101AFD"/>
    <w:rsid w:val="0017331F"/>
    <w:rsid w:val="001F1978"/>
    <w:rsid w:val="00207938"/>
    <w:rsid w:val="0023270D"/>
    <w:rsid w:val="002506FC"/>
    <w:rsid w:val="002515B1"/>
    <w:rsid w:val="00254C63"/>
    <w:rsid w:val="00260838"/>
    <w:rsid w:val="00260E57"/>
    <w:rsid w:val="002626B3"/>
    <w:rsid w:val="002642A9"/>
    <w:rsid w:val="002B6705"/>
    <w:rsid w:val="002C67E0"/>
    <w:rsid w:val="00306C23"/>
    <w:rsid w:val="00351543"/>
    <w:rsid w:val="003837CA"/>
    <w:rsid w:val="0038558B"/>
    <w:rsid w:val="00386516"/>
    <w:rsid w:val="003D5A7D"/>
    <w:rsid w:val="003F7668"/>
    <w:rsid w:val="004338F8"/>
    <w:rsid w:val="00434920"/>
    <w:rsid w:val="0043536A"/>
    <w:rsid w:val="004356CE"/>
    <w:rsid w:val="004519C2"/>
    <w:rsid w:val="004D2A25"/>
    <w:rsid w:val="004E412E"/>
    <w:rsid w:val="005252FB"/>
    <w:rsid w:val="0055421A"/>
    <w:rsid w:val="00593740"/>
    <w:rsid w:val="005A3066"/>
    <w:rsid w:val="0065611B"/>
    <w:rsid w:val="006F036D"/>
    <w:rsid w:val="007060E5"/>
    <w:rsid w:val="00731C4B"/>
    <w:rsid w:val="00746A28"/>
    <w:rsid w:val="00776778"/>
    <w:rsid w:val="00781205"/>
    <w:rsid w:val="007876E8"/>
    <w:rsid w:val="00851DEB"/>
    <w:rsid w:val="00876944"/>
    <w:rsid w:val="008B1CE8"/>
    <w:rsid w:val="008C09BF"/>
    <w:rsid w:val="008C1A71"/>
    <w:rsid w:val="00924333"/>
    <w:rsid w:val="00992DF8"/>
    <w:rsid w:val="009A67C9"/>
    <w:rsid w:val="009A750B"/>
    <w:rsid w:val="00A17086"/>
    <w:rsid w:val="00A2509A"/>
    <w:rsid w:val="00AB40FD"/>
    <w:rsid w:val="00AC2023"/>
    <w:rsid w:val="00AD25ED"/>
    <w:rsid w:val="00AE714A"/>
    <w:rsid w:val="00B75474"/>
    <w:rsid w:val="00BF2A11"/>
    <w:rsid w:val="00C27DCD"/>
    <w:rsid w:val="00C346C5"/>
    <w:rsid w:val="00C426DE"/>
    <w:rsid w:val="00C67EE1"/>
    <w:rsid w:val="00C7600C"/>
    <w:rsid w:val="00C86445"/>
    <w:rsid w:val="00C95582"/>
    <w:rsid w:val="00CA5AA8"/>
    <w:rsid w:val="00CC7435"/>
    <w:rsid w:val="00D27E96"/>
    <w:rsid w:val="00D503AC"/>
    <w:rsid w:val="00DC5884"/>
    <w:rsid w:val="00DD4590"/>
    <w:rsid w:val="00E30923"/>
    <w:rsid w:val="00E623DA"/>
    <w:rsid w:val="00E6626C"/>
    <w:rsid w:val="00EB03ED"/>
    <w:rsid w:val="00EB7F01"/>
    <w:rsid w:val="00EC5C6D"/>
    <w:rsid w:val="00F27AF3"/>
    <w:rsid w:val="00F345FD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2018-09-10T11:18:00Z</cp:lastPrinted>
  <dcterms:created xsi:type="dcterms:W3CDTF">2016-05-04T13:21:00Z</dcterms:created>
  <dcterms:modified xsi:type="dcterms:W3CDTF">2018-09-13T08:13:00Z</dcterms:modified>
</cp:coreProperties>
</file>