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D3">
        <w:rPr>
          <w:rFonts w:ascii="Times New Roman" w:hAnsi="Times New Roman" w:cs="Times New Roman"/>
          <w:sz w:val="24"/>
          <w:szCs w:val="24"/>
        </w:rPr>
        <w:t>бесперебойник</w:t>
      </w:r>
      <w:proofErr w:type="spellEnd"/>
      <w:r w:rsidR="00E648D3">
        <w:rPr>
          <w:rFonts w:ascii="Times New Roman" w:hAnsi="Times New Roman" w:cs="Times New Roman"/>
          <w:sz w:val="24"/>
          <w:szCs w:val="24"/>
        </w:rPr>
        <w:t xml:space="preserve"> (2 шт.) и видеокарта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proofErr w:type="spellStart"/>
      <w:r w:rsidR="00E648D3">
        <w:rPr>
          <w:rFonts w:ascii="Times New Roman" w:hAnsi="Times New Roman" w:cs="Times New Roman"/>
          <w:sz w:val="24"/>
          <w:szCs w:val="24"/>
        </w:rPr>
        <w:t>бесперебойников</w:t>
      </w:r>
      <w:proofErr w:type="spellEnd"/>
      <w:r w:rsidR="00E648D3">
        <w:rPr>
          <w:rFonts w:ascii="Times New Roman" w:hAnsi="Times New Roman" w:cs="Times New Roman"/>
          <w:sz w:val="24"/>
          <w:szCs w:val="24"/>
        </w:rPr>
        <w:t xml:space="preserve"> (2 шт.) и видеокарты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F32B3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E648D3">
        <w:rPr>
          <w:rFonts w:ascii="Times New Roman" w:hAnsi="Times New Roman" w:cs="Times New Roman"/>
          <w:sz w:val="24"/>
          <w:szCs w:val="24"/>
        </w:rPr>
        <w:t>30185,00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F32B3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E648D3">
        <w:rPr>
          <w:rFonts w:ascii="Times New Roman" w:hAnsi="Times New Roman" w:cs="Times New Roman"/>
          <w:sz w:val="24"/>
          <w:szCs w:val="24"/>
        </w:rPr>
        <w:t>24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AA49BB" w:rsidRPr="00AA49BB">
        <w:rPr>
          <w:rFonts w:ascii="Times New Roman" w:hAnsi="Times New Roman" w:cs="Times New Roman"/>
          <w:sz w:val="24"/>
          <w:szCs w:val="24"/>
        </w:rPr>
        <w:t>0</w:t>
      </w:r>
      <w:r w:rsidR="00E648D3">
        <w:rPr>
          <w:rFonts w:ascii="Times New Roman" w:hAnsi="Times New Roman" w:cs="Times New Roman"/>
          <w:sz w:val="24"/>
          <w:szCs w:val="24"/>
        </w:rPr>
        <w:t>5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E648D3">
        <w:rPr>
          <w:rFonts w:ascii="Times New Roman" w:hAnsi="Times New Roman" w:cs="Times New Roman"/>
          <w:sz w:val="24"/>
          <w:szCs w:val="24"/>
        </w:rPr>
        <w:t>25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AA49BB">
        <w:rPr>
          <w:rFonts w:ascii="Times New Roman" w:hAnsi="Times New Roman" w:cs="Times New Roman"/>
          <w:sz w:val="24"/>
          <w:szCs w:val="24"/>
        </w:rPr>
        <w:t>0</w:t>
      </w:r>
      <w:r w:rsidR="00E648D3">
        <w:rPr>
          <w:rFonts w:ascii="Times New Roman" w:hAnsi="Times New Roman" w:cs="Times New Roman"/>
          <w:sz w:val="24"/>
          <w:szCs w:val="24"/>
        </w:rPr>
        <w:t>5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CF32B3"/>
    <w:rsid w:val="00D10416"/>
    <w:rsid w:val="00D369B9"/>
    <w:rsid w:val="00D503AC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2017-04-05T12:09:00Z</cp:lastPrinted>
  <dcterms:created xsi:type="dcterms:W3CDTF">2016-05-04T13:21:00Z</dcterms:created>
  <dcterms:modified xsi:type="dcterms:W3CDTF">2018-05-16T08:16:00Z</dcterms:modified>
</cp:coreProperties>
</file>