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E81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E81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9A2FE6">
        <w:rPr>
          <w:rFonts w:ascii="Times New Roman" w:eastAsia="Calibri" w:hAnsi="Times New Roman" w:cs="Times New Roman"/>
          <w:b/>
          <w:sz w:val="24"/>
          <w:szCs w:val="24"/>
        </w:rPr>
        <w:t>канцелярских товаров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9A2FE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7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9453FD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9453FD">
        <w:fldChar w:fldCharType="begin"/>
      </w:r>
      <w:r w:rsidR="003A47D0" w:rsidRPr="00BE18E5">
        <w:instrText xml:space="preserve"> TOC \o "1-3" \h \z \u </w:instrText>
      </w:r>
      <w:r w:rsidRPr="009453FD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9453FD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9453FD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453FD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9453FD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453FD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453FD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453FD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453FD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9453FD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9453FD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9453FD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9453FD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9453FD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81D16">
        <w:t>4</w:t>
      </w:r>
    </w:p>
    <w:p w:rsidR="00F866B8" w:rsidRPr="00BE18E5" w:rsidRDefault="009453FD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E81D16">
        <w:t>8</w:t>
      </w:r>
    </w:p>
    <w:p w:rsidR="003A47D0" w:rsidRPr="00F35F83" w:rsidRDefault="009453FD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6C57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канцелярских товаров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6C575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5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9453FD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26968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Двадцать 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шесть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девять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сот 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шесть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десят 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восемь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9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6C575A" w:rsidP="006C575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90 банковских </w:t>
                </w:r>
                <w:r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дней с момента подписания товарной накладной (ТОРГ-12) при наличии на</w:t>
                </w:r>
                <w:r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 финансовых ресурсов предназначенных для оплаты обязательств, являющихся предметом настоящего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9453FD" w:rsidP="006C575A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7-04-1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C575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14.04.2017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9453FD" w:rsidP="006C575A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7-04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C575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17.04.2017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2C30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 w:rsidR="002C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B37607" w:rsidRDefault="00B37607" w:rsidP="002C30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хозяйственных товаров для нужд ГПОАУ ЯО Ярославского педагогического колледжа. </w:t>
            </w: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Характеристики и количество товаров указано в Спецификации (п. 16 настоящего технического задания).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B37607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26968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 w:rsidR="00074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18%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B37607" w:rsidRDefault="00B37607" w:rsidP="00074A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Обеспечение нужд ГПОАУ ЯО Ярославского педагогического колледжа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B3760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</w:t>
            </w:r>
            <w:r w:rsidR="00B3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банковских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 в течение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рабочих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дней с даты заключения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 w:rsidR="00B3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 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B37607">
        <w:trPr>
          <w:trHeight w:val="420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товар на соответствие количества, комплектности, качества требованиям, установленным настоящим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требуется</w:t>
            </w:r>
          </w:p>
        </w:tc>
      </w:tr>
      <w:tr w:rsidR="00074AD0" w:rsidRPr="00A303B6" w:rsidTr="009C6146">
        <w:tc>
          <w:tcPr>
            <w:tcW w:w="70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  <w:vAlign w:val="center"/>
          </w:tcPr>
          <w:p w:rsidR="00B37607" w:rsidRPr="00B37607" w:rsidRDefault="00B37607" w:rsidP="00B37607">
            <w:pPr>
              <w:widowControl w:val="0"/>
              <w:tabs>
                <w:tab w:val="left" w:pos="0"/>
                <w:tab w:val="left" w:pos="189"/>
                <w:tab w:val="left" w:pos="168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</w:t>
            </w:r>
          </w:p>
          <w:p w:rsidR="00074AD0" w:rsidRPr="00B37607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607" w:rsidRDefault="00B37607" w:rsidP="00B3760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7607" w:rsidRPr="00B37607" w:rsidRDefault="00B37607" w:rsidP="00B3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07">
        <w:rPr>
          <w:rFonts w:ascii="Times New Roman" w:hAnsi="Times New Roman" w:cs="Times New Roman"/>
          <w:sz w:val="24"/>
          <w:szCs w:val="24"/>
        </w:rPr>
        <w:t>16 Спецификация</w:t>
      </w:r>
    </w:p>
    <w:p w:rsidR="00B37607" w:rsidRPr="00B37607" w:rsidRDefault="00B37607" w:rsidP="00B376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05"/>
        <w:gridCol w:w="954"/>
        <w:gridCol w:w="1335"/>
        <w:gridCol w:w="1344"/>
        <w:gridCol w:w="1559"/>
      </w:tblGrid>
      <w:tr w:rsidR="00B37607" w:rsidRPr="00B37607" w:rsidTr="00C01815">
        <w:tc>
          <w:tcPr>
            <w:tcW w:w="709" w:type="dxa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B376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954" w:type="dxa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35" w:type="dxa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344" w:type="dxa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055579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СНЕГУРОЧКА, А3, 80 г/м</w:t>
            </w:r>
            <w:r w:rsidRPr="00E10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500 листов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055579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055579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«Дело», мелованный картон, 280-300 г/м</w:t>
            </w:r>
            <w:r w:rsidRPr="00AD2B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AD2B3C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Папка-регистратор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«Стандарт», А4, 75 мм, черный, картон покрытый полипропиленом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контейнер, 480*295*325 мм, коричневый, гофрокартон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C463A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Скрепки золотистые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мм, 100 шт/уп, полимерное покрытие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1864AC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8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65 г, с дозатором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короб, 150 мм, синий, микрогофрокартон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A00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учета, в клетку, картон, офсет 96 листов, белая, с перышком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скрепке «Бумвинил», А5, 48 листов, клетка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7" w:rsidRPr="00B37607" w:rsidTr="00C01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Pr="00FF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FF0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Trio</w:t>
            </w:r>
            <w:r w:rsidRPr="00FF0E74">
              <w:rPr>
                <w:rFonts w:ascii="Times New Roman" w:hAnsi="Times New Roman" w:cs="Times New Roman"/>
                <w:sz w:val="24"/>
                <w:szCs w:val="24"/>
              </w:rPr>
              <w:t xml:space="preserve"> 5165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листов, глубина закладки 42 мм, ассорти, скобы № 10 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или эквивалент с соответствующими 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7" w:rsidRDefault="00B37607" w:rsidP="00C01815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Pr="00B37607" w:rsidRDefault="00B37607" w:rsidP="00B3760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5558DF">
        <w:rPr>
          <w:rFonts w:ascii="Times New Roman" w:hAnsi="Times New Roman" w:cs="Times New Roman"/>
          <w:b/>
          <w:sz w:val="23"/>
          <w:szCs w:val="23"/>
        </w:rPr>
        <w:t>канцелярские товары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дней.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Поставщиком  на  соответствие  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 w:rsidR="00373F8F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055579">
        <w:rPr>
          <w:rFonts w:ascii="Times New Roman" w:hAnsi="Times New Roman" w:cs="Times New Roman"/>
          <w:b/>
          <w:sz w:val="24"/>
          <w:szCs w:val="24"/>
        </w:rPr>
        <w:t>канцелярских товаров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98"/>
        <w:gridCol w:w="824"/>
        <w:gridCol w:w="1110"/>
        <w:gridCol w:w="1372"/>
        <w:gridCol w:w="1490"/>
        <w:gridCol w:w="1551"/>
        <w:gridCol w:w="1092"/>
        <w:gridCol w:w="1506"/>
        <w:gridCol w:w="1557"/>
        <w:gridCol w:w="1414"/>
      </w:tblGrid>
      <w:tr w:rsidR="00055579" w:rsidRPr="00B93E00" w:rsidTr="00E10829">
        <w:trPr>
          <w:trHeight w:val="17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055579" w:rsidRPr="00055579" w:rsidTr="00E10829">
              <w:trPr>
                <w:trHeight w:val="1637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520700</wp:posOffset>
                        </wp:positionV>
                        <wp:extent cx="895350" cy="466725"/>
                        <wp:effectExtent l="19050" t="0" r="0" b="0"/>
                        <wp:wrapNone/>
                        <wp:docPr id="5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055579" w:rsidRPr="00055579" w:rsidTr="00E10829">
              <w:trPr>
                <w:trHeight w:val="1752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454025</wp:posOffset>
                        </wp:positionV>
                        <wp:extent cx="781050" cy="390525"/>
                        <wp:effectExtent l="19050" t="0" r="0" b="0"/>
                        <wp:wrapNone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055579" w:rsidRPr="00B93E00" w:rsidTr="00E10829">
        <w:trPr>
          <w:trHeight w:val="11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СНЕГУРОЧКА, А3, 80 г/м</w:t>
            </w:r>
            <w:r w:rsidRPr="00E10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500 листов</w:t>
            </w:r>
            <w:r w:rsidR="00055579"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E1082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13870,10</w:t>
            </w:r>
          </w:p>
        </w:tc>
      </w:tr>
      <w:tr w:rsidR="00E10829" w:rsidRPr="00B93E00" w:rsidTr="00E10829">
        <w:trPr>
          <w:trHeight w:val="11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829" w:rsidRPr="00055579" w:rsidRDefault="00E10829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«Дело», мелованный картон, 280-300 г/м</w:t>
            </w:r>
            <w:r w:rsidRPr="00AD2B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29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3105,00</w:t>
            </w:r>
          </w:p>
        </w:tc>
      </w:tr>
      <w:tr w:rsidR="00AD2B3C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B3C" w:rsidRDefault="00AD2B3C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AD2B3C" w:rsidRP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Папка-регистратор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«Стандарт», А4, 75 мм, черный, картон покрытый полипропиленом</w:t>
            </w:r>
            <w:r w:rsidR="00EF25E3"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3C" w:rsidRDefault="00AD2B3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3817,60</w:t>
            </w:r>
          </w:p>
        </w:tc>
      </w:tr>
      <w:tr w:rsidR="00EF25E3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E3" w:rsidRDefault="00EF25E3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контейнер, 480*295*325 мм, коричневый, гофрокартон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E3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2600,40</w:t>
            </w:r>
          </w:p>
        </w:tc>
      </w:tr>
      <w:tr w:rsidR="00EF25E3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5E3" w:rsidRDefault="00EF25E3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F25E3" w:rsidRPr="00C463A7" w:rsidRDefault="00EF25E3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Скрепки золотистые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GLOBUS</w:t>
            </w:r>
            <w:r w:rsidR="00C463A7">
              <w:rPr>
                <w:rFonts w:ascii="Times New Roman" w:hAnsi="Times New Roman" w:cs="Times New Roman"/>
                <w:sz w:val="24"/>
                <w:szCs w:val="24"/>
              </w:rPr>
              <w:t>, 28 мм, 100 шт/уп, полимерное покрытие</w:t>
            </w:r>
            <w:r w:rsidR="00C463A7"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E3" w:rsidRDefault="00C463A7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1088,27</w:t>
            </w:r>
          </w:p>
        </w:tc>
      </w:tr>
      <w:tr w:rsidR="001864AC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4AC" w:rsidRDefault="001864AC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1864AC" w:rsidRP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8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65 г, с дозатором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4AC" w:rsidRDefault="001864AC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355,05</w:t>
            </w:r>
          </w:p>
        </w:tc>
      </w:tr>
      <w:tr w:rsidR="003A0EAF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EAF" w:rsidRDefault="003A0EAF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короб, 150 мм, синий, микрогофрокартон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AF" w:rsidRDefault="003A0EA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724,57</w:t>
            </w:r>
          </w:p>
        </w:tc>
      </w:tr>
      <w:tr w:rsidR="000E02AB" w:rsidRPr="00B93E00" w:rsidTr="00F42140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2AB" w:rsidRDefault="000E02AB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shd w:val="clear" w:color="auto" w:fill="auto"/>
            <w:vAlign w:val="bottom"/>
          </w:tcPr>
          <w:p w:rsidR="000E02AB" w:rsidRDefault="000E02A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учета, в клетку, картон, офсет 96 листов, белая, с перышком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AB" w:rsidRDefault="0043444F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AB" w:rsidRDefault="0043444F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AB" w:rsidRDefault="000E02AB" w:rsidP="00F4214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675,67</w:t>
            </w:r>
          </w:p>
        </w:tc>
      </w:tr>
      <w:tr w:rsidR="00730A09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скрепке «Бумвинил», А5, 48 листов, клетка</w:t>
            </w:r>
            <w:r w:rsidR="00F42140" w:rsidRPr="00055579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A09" w:rsidRDefault="00730A09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377,45</w:t>
            </w:r>
          </w:p>
        </w:tc>
      </w:tr>
      <w:tr w:rsidR="00FF0E74" w:rsidRPr="00B93E00" w:rsidTr="00EF25E3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Pr="00FF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FF0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Trio</w:t>
            </w:r>
            <w:r w:rsidRPr="00FF0E74">
              <w:rPr>
                <w:rFonts w:ascii="Times New Roman" w:hAnsi="Times New Roman" w:cs="Times New Roman"/>
                <w:sz w:val="24"/>
                <w:szCs w:val="24"/>
              </w:rPr>
              <w:t xml:space="preserve"> 5165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Dolphin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листов, глубина закладки 42 мм, ассорти, скобы № 10 </w:t>
            </w: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или эквивалент с соответствующими 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4" w:rsidRDefault="00A0532A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4" w:rsidRDefault="00A0532A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74" w:rsidRDefault="00FF0E74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353,98</w:t>
            </w:r>
          </w:p>
        </w:tc>
      </w:tr>
      <w:tr w:rsidR="00055579" w:rsidRPr="00B93E00" w:rsidTr="00E10829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B93E00" w:rsidRPr="00B93E00" w:rsidRDefault="00E73643" w:rsidP="00373F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26968,09</w:t>
            </w:r>
          </w:p>
        </w:tc>
      </w:tr>
    </w:tbl>
    <w:p w:rsidR="008F555F" w:rsidRDefault="008F555F" w:rsidP="00434200">
      <w:pPr>
        <w:adjustRightInd w:val="0"/>
        <w:jc w:val="center"/>
        <w:outlineLvl w:val="0"/>
        <w:rPr>
          <w:spacing w:val="-4"/>
        </w:rPr>
      </w:pPr>
    </w:p>
    <w:p w:rsidR="00434200" w:rsidRPr="00434200" w:rsidRDefault="00434200" w:rsidP="00434200">
      <w:pPr>
        <w:adjustRightInd w:val="0"/>
        <w:jc w:val="left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34200">
        <w:rPr>
          <w:rFonts w:ascii="Times New Roman" w:hAnsi="Times New Roman" w:cs="Times New Roman"/>
          <w:spacing w:val="-4"/>
          <w:sz w:val="24"/>
          <w:szCs w:val="24"/>
        </w:rPr>
        <w:t xml:space="preserve">Контрактный управляющий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</w:t>
      </w:r>
      <w:r w:rsidRPr="00434200">
        <w:rPr>
          <w:rFonts w:ascii="Times New Roman" w:hAnsi="Times New Roman" w:cs="Times New Roman"/>
          <w:spacing w:val="-4"/>
          <w:sz w:val="24"/>
          <w:szCs w:val="24"/>
        </w:rPr>
        <w:t>Густякова Л.В.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</w:pP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5D" w:rsidRDefault="003E335D">
      <w:pPr>
        <w:spacing w:after="0" w:line="240" w:lineRule="auto"/>
      </w:pPr>
      <w:r>
        <w:separator/>
      </w:r>
    </w:p>
  </w:endnote>
  <w:endnote w:type="continuationSeparator" w:id="1">
    <w:p w:rsidR="003E335D" w:rsidRDefault="003E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5D" w:rsidRDefault="003E335D">
      <w:pPr>
        <w:spacing w:after="0" w:line="240" w:lineRule="auto"/>
      </w:pPr>
      <w:r>
        <w:separator/>
      </w:r>
    </w:p>
  </w:footnote>
  <w:footnote w:type="continuationSeparator" w:id="1">
    <w:p w:rsidR="003E335D" w:rsidRDefault="003E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9" w:rsidRDefault="00055579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5579" w:rsidRDefault="000555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7D7F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7CF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558DF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51087"/>
    <w:rsid w:val="00F55750"/>
    <w:rsid w:val="00F74A1F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1211</TotalTime>
  <Pages>21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80</cp:revision>
  <cp:lastPrinted>2016-11-30T05:39:00Z</cp:lastPrinted>
  <dcterms:created xsi:type="dcterms:W3CDTF">2016-03-25T06:36:00Z</dcterms:created>
  <dcterms:modified xsi:type="dcterms:W3CDTF">2017-04-05T12:59:00Z</dcterms:modified>
</cp:coreProperties>
</file>