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C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C1A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E6626C">
        <w:rPr>
          <w:rFonts w:ascii="Times New Roman" w:hAnsi="Times New Roman" w:cs="Times New Roman"/>
          <w:bCs/>
          <w:sz w:val="24"/>
          <w:szCs w:val="24"/>
        </w:rPr>
        <w:t>офисная бумага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8C1A7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6626C">
        <w:rPr>
          <w:rFonts w:ascii="Times New Roman" w:hAnsi="Times New Roman" w:cs="Times New Roman"/>
          <w:sz w:val="24"/>
          <w:szCs w:val="24"/>
        </w:rPr>
        <w:t>офисной бумаги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</w:t>
      </w:r>
      <w:r w:rsidR="00E6626C">
        <w:rPr>
          <w:bCs/>
          <w:spacing w:val="-5"/>
          <w:sz w:val="24"/>
          <w:szCs w:val="24"/>
        </w:rPr>
        <w:t>20</w:t>
      </w:r>
      <w:r w:rsidR="008C09BF">
        <w:rPr>
          <w:bCs/>
          <w:spacing w:val="-5"/>
          <w:sz w:val="24"/>
          <w:szCs w:val="24"/>
        </w:rPr>
        <w:t xml:space="preserve">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>Место оказания услуги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E6626C">
        <w:rPr>
          <w:sz w:val="24"/>
          <w:szCs w:val="24"/>
        </w:rPr>
        <w:t>58020,83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>средств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2506FC">
        <w:rPr>
          <w:rFonts w:ascii="Times New Roman" w:hAnsi="Times New Roman" w:cs="Times New Roman"/>
          <w:sz w:val="24"/>
          <w:szCs w:val="24"/>
        </w:rPr>
        <w:t>12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731C4B" w:rsidRPr="00731C4B">
        <w:rPr>
          <w:rFonts w:ascii="Times New Roman" w:hAnsi="Times New Roman" w:cs="Times New Roman"/>
          <w:sz w:val="24"/>
          <w:szCs w:val="24"/>
        </w:rPr>
        <w:t>7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2506FC">
        <w:rPr>
          <w:rFonts w:ascii="Times New Roman" w:hAnsi="Times New Roman" w:cs="Times New Roman"/>
          <w:sz w:val="24"/>
          <w:szCs w:val="24"/>
        </w:rPr>
        <w:t>13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8B1CE8" w:rsidRPr="008B1CE8">
        <w:rPr>
          <w:rFonts w:ascii="Times New Roman" w:hAnsi="Times New Roman" w:cs="Times New Roman"/>
          <w:sz w:val="24"/>
          <w:szCs w:val="24"/>
        </w:rPr>
        <w:t>7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2506FC">
        <w:rPr>
          <w:rFonts w:ascii="Times New Roman" w:hAnsi="Times New Roman" w:cs="Times New Roman"/>
          <w:sz w:val="24"/>
          <w:szCs w:val="24"/>
        </w:rPr>
        <w:t>16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8B1CE8">
        <w:rPr>
          <w:rFonts w:ascii="Times New Roman" w:hAnsi="Times New Roman" w:cs="Times New Roman"/>
          <w:sz w:val="24"/>
          <w:szCs w:val="24"/>
        </w:rPr>
        <w:t>7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ГПОАУ ЯО Ярославский педагогический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412E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2506FC">
        <w:rPr>
          <w:rFonts w:ascii="Times New Roman" w:hAnsi="Times New Roman" w:cs="Times New Roman"/>
          <w:sz w:val="24"/>
          <w:szCs w:val="24"/>
        </w:rPr>
        <w:t>офисной бумаги</w:t>
      </w:r>
      <w:r w:rsidR="008B1CE8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4E412E">
        <w:rPr>
          <w:sz w:val="24"/>
          <w:szCs w:val="24"/>
        </w:rPr>
        <w:lastRenderedPageBreak/>
        <w:t>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7331F"/>
    <w:rsid w:val="001F1978"/>
    <w:rsid w:val="002506FC"/>
    <w:rsid w:val="00260838"/>
    <w:rsid w:val="00260E57"/>
    <w:rsid w:val="002626B3"/>
    <w:rsid w:val="002C67E0"/>
    <w:rsid w:val="00306C2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E714A"/>
    <w:rsid w:val="00B75474"/>
    <w:rsid w:val="00BF2A11"/>
    <w:rsid w:val="00C27DCD"/>
    <w:rsid w:val="00C346C5"/>
    <w:rsid w:val="00C426DE"/>
    <w:rsid w:val="00C67EE1"/>
    <w:rsid w:val="00C86445"/>
    <w:rsid w:val="00C95582"/>
    <w:rsid w:val="00CA5AA8"/>
    <w:rsid w:val="00CC7435"/>
    <w:rsid w:val="00D503AC"/>
    <w:rsid w:val="00DC5884"/>
    <w:rsid w:val="00DD4590"/>
    <w:rsid w:val="00E30923"/>
    <w:rsid w:val="00E623DA"/>
    <w:rsid w:val="00E6626C"/>
    <w:rsid w:val="00EB03ED"/>
    <w:rsid w:val="00EC5C6D"/>
    <w:rsid w:val="00F3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2017-04-05T10:03:00Z</cp:lastPrinted>
  <dcterms:created xsi:type="dcterms:W3CDTF">2016-05-04T13:21:00Z</dcterms:created>
  <dcterms:modified xsi:type="dcterms:W3CDTF">2017-09-19T11:33:00Z</dcterms:modified>
</cp:coreProperties>
</file>