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E81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E81D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E71EBB">
        <w:rPr>
          <w:rFonts w:ascii="Times New Roman" w:eastAsia="Calibri" w:hAnsi="Times New Roman" w:cs="Times New Roman"/>
          <w:b/>
          <w:sz w:val="24"/>
          <w:szCs w:val="24"/>
        </w:rPr>
        <w:t>алкометра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9A2FE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7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505DE5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505DE5">
        <w:fldChar w:fldCharType="begin"/>
      </w:r>
      <w:r w:rsidR="003A47D0" w:rsidRPr="00BE18E5">
        <w:instrText xml:space="preserve"> TOC \o "1-3" \h \z \u </w:instrText>
      </w:r>
      <w:r w:rsidRPr="00505DE5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E20594">
        <w:t>2</w:t>
      </w:r>
    </w:p>
    <w:p w:rsidR="00F866B8" w:rsidRPr="00BE18E5" w:rsidRDefault="00505DE5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505DE5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05DE5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505DE5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505DE5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505DE5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505DE5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505DE5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505DE5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505DE5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505DE5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505DE5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505DE5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20594">
        <w:t>5</w:t>
      </w:r>
    </w:p>
    <w:p w:rsidR="00F866B8" w:rsidRPr="00BE18E5" w:rsidRDefault="00505DE5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E20594">
        <w:t>9</w:t>
      </w:r>
    </w:p>
    <w:p w:rsidR="003A47D0" w:rsidRPr="00F35F83" w:rsidRDefault="00505DE5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655D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алкометра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6074F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6074FF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6074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средств </w:t>
            </w:r>
            <w:r w:rsidR="00F21F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505DE5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655D1C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54000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655D1C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Пять</w:t>
                </w:r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десят четыре </w:t>
                </w:r>
                <w:r w:rsidR="00B03713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тысяч</w:t>
                </w:r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и</w:t>
                </w:r>
                <w:r w:rsidR="00F252E7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B03713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</w:t>
                </w:r>
                <w:r w:rsidR="006074FF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</w:t>
                </w:r>
                <w:r w:rsidR="00F55750" w:rsidRPr="00224A4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505DE5" w:rsidP="003810A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6074FF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накладной (ТОРГ-12) при наличии 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 w:rsidR="00381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документацией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 w:rsidR="00381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установленным в документации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505DE5" w:rsidP="0068370D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7-09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837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15.09.2017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505DE5" w:rsidP="0068370D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7-09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837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18.09.2017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CA0D47" w:rsidRPr="00A303B6" w:rsidRDefault="00CA0D47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2C30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закупки является право заключения </w:t>
            </w:r>
            <w:r w:rsidR="002C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B37607" w:rsidRDefault="00B37607" w:rsidP="00BC37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r w:rsidR="00BC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алкометра</w:t>
            </w:r>
            <w:r w:rsidRPr="00B3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нужд ГПОАУ ЯО Ярославского педагогического колледжа.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74AD0" w:rsidRPr="00FD5578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6074FF" w:rsidRDefault="00BC3734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  <w:r w:rsidR="00074AD0" w:rsidRPr="0060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 w:rsidR="006074FF" w:rsidRPr="006074F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74AD0" w:rsidRPr="0060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коп., включая НДС 18%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074AD0" w:rsidRPr="00B37607" w:rsidRDefault="00B37607" w:rsidP="00BC37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C37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Ярославского педагогического колледжа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074AD0" w:rsidRPr="00A303B6" w:rsidRDefault="00074AD0" w:rsidP="006074F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</w:t>
            </w:r>
            <w:r w:rsidRP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течение </w:t>
            </w:r>
            <w:r w:rsidR="006074FF" w:rsidRP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банковских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дней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02, г. Ярославль, ул. Маланова,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д. 12 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074AD0" w:rsidRPr="00A303B6" w:rsidRDefault="003810A2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Товара: 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6074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74A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рабочих 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дней с даты заключения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контракт</w:t>
            </w:r>
            <w:r w:rsidR="00074A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C3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4AD0" w:rsidRPr="00A303B6" w:rsidRDefault="00074AD0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 w:rsidR="00B3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Контракта</w:t>
            </w:r>
            <w:r w:rsidR="0038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себя стоимость доставки, стоимость разгрузочно-по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грузочных работ, тары, упаковки.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tabs>
                <w:tab w:val="left" w:pos="29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посредством применения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  <w:r w:rsidRPr="00A3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товару См. раздел № 2</w:t>
            </w:r>
          </w:p>
          <w:p w:rsidR="00074AD0" w:rsidRPr="00A303B6" w:rsidRDefault="00074AD0" w:rsidP="009F71E7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Нет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AD0" w:rsidRPr="00A303B6" w:rsidTr="00B37607">
        <w:trPr>
          <w:trHeight w:val="420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Требования по передаче заказчику технических и иных документов при поставке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Технические и иные документы предоставляются по запросу Заказчика</w:t>
            </w:r>
          </w:p>
        </w:tc>
      </w:tr>
      <w:tr w:rsidR="00074AD0" w:rsidRPr="00A303B6" w:rsidTr="009F71E7">
        <w:trPr>
          <w:trHeight w:val="556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безопасности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ГОСТами Российской Федерации, разрешающими ее применение на территории Российской Федерации. </w:t>
            </w:r>
          </w:p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продукция должна иметь товарный вид, быть 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сдачи и приемки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товар на соответствие количества, комплектности, качества требованиям, установленным настоящим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Контракту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5F33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6095" w:type="dxa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требуется</w:t>
            </w:r>
          </w:p>
        </w:tc>
      </w:tr>
      <w:tr w:rsidR="00074AD0" w:rsidRPr="00A303B6" w:rsidTr="009C6146">
        <w:tc>
          <w:tcPr>
            <w:tcW w:w="70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  <w:vAlign w:val="center"/>
          </w:tcPr>
          <w:p w:rsidR="00B37607" w:rsidRPr="00B37607" w:rsidRDefault="00B37607" w:rsidP="00B37607">
            <w:pPr>
              <w:widowControl w:val="0"/>
              <w:tabs>
                <w:tab w:val="left" w:pos="0"/>
                <w:tab w:val="left" w:pos="189"/>
                <w:tab w:val="left" w:pos="168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</w:t>
            </w:r>
          </w:p>
          <w:p w:rsidR="00074AD0" w:rsidRPr="00B37607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607" w:rsidRDefault="00B37607" w:rsidP="00B3760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01B2" w:rsidRPr="003F01B2" w:rsidRDefault="003F01B2" w:rsidP="003F01B2">
      <w:pPr>
        <w:pStyle w:val="16"/>
        <w:keepNext/>
        <w:keepLine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</w:t>
      </w:r>
      <w:r w:rsidRPr="00A303B6">
        <w:rPr>
          <w:b/>
          <w:bCs/>
          <w:sz w:val="24"/>
          <w:szCs w:val="24"/>
        </w:rPr>
        <w:t xml:space="preserve">. </w:t>
      </w:r>
      <w:r w:rsidRPr="003F01B2">
        <w:rPr>
          <w:b/>
          <w:sz w:val="24"/>
          <w:szCs w:val="24"/>
        </w:rPr>
        <w:t>Требования к техническим и функциональным характеристикам товара, количеству поставляемого товара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4394"/>
        <w:gridCol w:w="1276"/>
        <w:gridCol w:w="1134"/>
      </w:tblGrid>
      <w:tr w:rsidR="003F01B2" w:rsidRPr="00B37607" w:rsidTr="003F01B2">
        <w:trPr>
          <w:trHeight w:val="845"/>
        </w:trPr>
        <w:tc>
          <w:tcPr>
            <w:tcW w:w="709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№</w:t>
            </w:r>
          </w:p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F01B2" w:rsidRPr="003F01B2" w:rsidRDefault="003F01B2" w:rsidP="001D54AE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tabs>
                <w:tab w:val="left" w:pos="1862"/>
              </w:tabs>
              <w:ind w:right="156"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Технические и функциональные характеристики</w:t>
            </w:r>
          </w:p>
        </w:tc>
        <w:tc>
          <w:tcPr>
            <w:tcW w:w="1276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Кол-во</w:t>
            </w:r>
          </w:p>
        </w:tc>
      </w:tr>
      <w:tr w:rsidR="003F01B2" w:rsidRPr="00B37607" w:rsidTr="003F0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b/>
                <w:sz w:val="24"/>
                <w:szCs w:val="24"/>
              </w:rPr>
              <w:t>5</w:t>
            </w:r>
          </w:p>
        </w:tc>
      </w:tr>
      <w:tr w:rsidR="003F01B2" w:rsidRPr="00B37607" w:rsidTr="003F0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8E" w:rsidRPr="0022308E" w:rsidRDefault="00BC3734" w:rsidP="0022308E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Алкометр для предрейсового осмотра</w:t>
            </w:r>
          </w:p>
          <w:p w:rsidR="003F01B2" w:rsidRPr="003F01B2" w:rsidRDefault="0022308E" w:rsidP="0022308E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эквивалент с соответствующими характеристиками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Default="001D54AE" w:rsidP="00C66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датчика: Электрохимический;</w:t>
            </w:r>
          </w:p>
          <w:p w:rsidR="001D54AE" w:rsidRDefault="001D54AE" w:rsidP="00C66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Продувание: С воронкой;</w:t>
            </w:r>
          </w:p>
          <w:p w:rsidR="001D54AE" w:rsidRDefault="001D54AE" w:rsidP="00C66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Индикация: Световая и звуковая сигнализация;</w:t>
            </w:r>
          </w:p>
          <w:p w:rsidR="001D54AE" w:rsidRDefault="001D54AE" w:rsidP="00C66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показаний:</w:t>
            </w:r>
          </w:p>
          <w:p w:rsidR="001D54AE" w:rsidRDefault="001D54AE" w:rsidP="00C66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порог срабатывания 1: 0,05 мг/л</w:t>
            </w:r>
          </w:p>
          <w:p w:rsidR="001D54AE" w:rsidRDefault="001D54AE" w:rsidP="00C66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</w:t>
            </w:r>
            <w:r w:rsidR="00E20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срабатывания 2: 0,15 мг/л;</w:t>
            </w:r>
          </w:p>
          <w:p w:rsidR="001D54AE" w:rsidRDefault="001D54AE" w:rsidP="001D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Пределы дополнительной погрешности: не нормированы в диапазоне 0,050 мг/л </w:t>
            </w:r>
          </w:p>
          <w:p w:rsidR="00924CED" w:rsidRDefault="001D54AE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54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мг/мл в диапазоне 0,15 мг/л</w:t>
            </w:r>
            <w:r w:rsidR="00924C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подготовки к первому тексту: не более 10 сек.;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Пробы выдыхаемого воздуха: 2-3 секунды умеренного непрерывного выдоха;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выдачи сигнала после отбора пробы: не более 20 сек.;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подготовки к последующему тесту: не более 35 сек.;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автоматического отключения: 2 мин.;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температура: -5</w:t>
            </w:r>
            <w:r w:rsidRPr="00924C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÷ +40°С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Питание: От сменных 4-х щелочных батарей питания типа АА (4х1, 5В) или перезаряжаемых аккумуляторов типа АА 4 х 1,2 В;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измерений на анализаторе без замены/заряда элементов питания: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-щелочные батареи: не менее 3000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-перезаряжаемые аккумуляторы: не менее 1500;</w:t>
            </w:r>
          </w:p>
          <w:p w:rsidR="00924CED" w:rsidRDefault="00924CED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Режим отбора пробы: Активный и пассивный;</w:t>
            </w:r>
          </w:p>
          <w:p w:rsidR="007D67D4" w:rsidRDefault="007D67D4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Интервал времени работы анализаторов без корректировки показаний: не менее 12 мес. (корректировка показаний проводится при проверке по необходимости);</w:t>
            </w:r>
          </w:p>
          <w:p w:rsidR="007D67D4" w:rsidRDefault="007D67D4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срок службы: не менее 5 лет;</w:t>
            </w:r>
          </w:p>
          <w:p w:rsidR="007D67D4" w:rsidRDefault="007D67D4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Размеры: 265*48 мм;</w:t>
            </w:r>
          </w:p>
          <w:p w:rsidR="007D67D4" w:rsidRDefault="007D67D4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Вес: 300г;</w:t>
            </w:r>
          </w:p>
          <w:p w:rsidR="007D67D4" w:rsidRPr="00924CED" w:rsidRDefault="007D67D4" w:rsidP="001D54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Гарантия: 12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3F01B2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 w:rsidRPr="003F01B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3F01B2" w:rsidRDefault="00BC3734" w:rsidP="00F92760">
            <w:pPr>
              <w:pStyle w:val="1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A0D47" w:rsidRDefault="00CA0D47" w:rsidP="003F01B2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3734" w:rsidRPr="00BC3734" w:rsidRDefault="00BC3734" w:rsidP="00BC3734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C3734">
        <w:rPr>
          <w:color w:val="000000"/>
        </w:rPr>
        <w:t xml:space="preserve">Прибор </w:t>
      </w:r>
      <w:r w:rsidR="007D67D4">
        <w:rPr>
          <w:color w:val="000000"/>
        </w:rPr>
        <w:t xml:space="preserve">должен </w:t>
      </w:r>
      <w:r w:rsidRPr="00BC3734">
        <w:rPr>
          <w:color w:val="000000"/>
        </w:rPr>
        <w:t>относится к категории</w:t>
      </w:r>
      <w:r w:rsidR="007D67D4">
        <w:rPr>
          <w:color w:val="000000"/>
        </w:rPr>
        <w:t xml:space="preserve"> профессиональных </w:t>
      </w:r>
      <w:r w:rsidRPr="00BC3734">
        <w:rPr>
          <w:color w:val="000000"/>
        </w:rPr>
        <w:t>и применя</w:t>
      </w:r>
      <w:r w:rsidR="007D67D4">
        <w:rPr>
          <w:color w:val="000000"/>
        </w:rPr>
        <w:t>ться</w:t>
      </w:r>
      <w:r w:rsidRPr="00BC3734">
        <w:rPr>
          <w:color w:val="000000"/>
        </w:rPr>
        <w:t xml:space="preserve"> дл</w:t>
      </w:r>
      <w:r w:rsidR="007D67D4">
        <w:rPr>
          <w:color w:val="000000"/>
        </w:rPr>
        <w:t xml:space="preserve">я предрейсового осмотра водителей. </w:t>
      </w:r>
      <w:r w:rsidRPr="00BC3734">
        <w:rPr>
          <w:color w:val="000000"/>
        </w:rPr>
        <w:t>Алко</w:t>
      </w:r>
      <w:r w:rsidR="007D67D4">
        <w:rPr>
          <w:color w:val="000000"/>
        </w:rPr>
        <w:t>метром</w:t>
      </w:r>
      <w:r w:rsidRPr="00BC3734">
        <w:rPr>
          <w:color w:val="000000"/>
        </w:rPr>
        <w:t xml:space="preserve"> измеряют концентрацию паров этанола в выдохе человека.</w:t>
      </w:r>
    </w:p>
    <w:p w:rsidR="00BC3734" w:rsidRPr="00BC3734" w:rsidRDefault="00BC3734" w:rsidP="00BC3734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C3734">
        <w:rPr>
          <w:color w:val="000000"/>
        </w:rPr>
        <w:t>Предусмотрен</w:t>
      </w:r>
      <w:r w:rsidR="007D67D4">
        <w:rPr>
          <w:color w:val="000000"/>
        </w:rPr>
        <w:t>ы</w:t>
      </w:r>
      <w:r w:rsidRPr="00BC3734">
        <w:rPr>
          <w:color w:val="000000"/>
        </w:rPr>
        <w:t xml:space="preserve"> два режима отбора пробы: пассивный и активный.  При активном заборе воздуха испытуемый выдыхает в воронку, при пассивном - кнопкой запускается встроенный компрессор, втягивающий воздух. В обоих случаях отсутствует физический контакт тестируемого с прибором, мундштуки не используются.</w:t>
      </w:r>
    </w:p>
    <w:p w:rsidR="00BC3734" w:rsidRPr="00BC3734" w:rsidRDefault="00BC3734" w:rsidP="00BC3734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C3734">
        <w:rPr>
          <w:color w:val="000000"/>
        </w:rPr>
        <w:lastRenderedPageBreak/>
        <w:t>Рабочим элементом алкометра </w:t>
      </w:r>
      <w:r w:rsidR="007D67D4" w:rsidRPr="00BC3734">
        <w:rPr>
          <w:color w:val="000000"/>
        </w:rPr>
        <w:t xml:space="preserve"> </w:t>
      </w:r>
      <w:r w:rsidRPr="00BC3734">
        <w:rPr>
          <w:color w:val="000000"/>
        </w:rPr>
        <w:t>является высокочувствительный электрохимический датчик. Он обладает высокой избирательностью, в результате чего обеспечивает качественное тестирование.</w:t>
      </w:r>
    </w:p>
    <w:p w:rsidR="00BC3734" w:rsidRPr="00BC3734" w:rsidRDefault="00BC3734" w:rsidP="00BC3734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C3734">
        <w:rPr>
          <w:color w:val="000000"/>
        </w:rPr>
        <w:t>Производительность – 5 тестов в минуту. Среди преимуществ: автоматический контроль длительности продувания. Каждый этап тестирования сопровождается звуковым сигналом. Алко</w:t>
      </w:r>
      <w:r w:rsidR="007D67D4">
        <w:rPr>
          <w:color w:val="000000"/>
        </w:rPr>
        <w:t>метром</w:t>
      </w:r>
      <w:r w:rsidRPr="00BC3734">
        <w:rPr>
          <w:color w:val="000000"/>
        </w:rPr>
        <w:t xml:space="preserve"> </w:t>
      </w:r>
      <w:r w:rsidR="007D67D4">
        <w:rPr>
          <w:color w:val="000000"/>
        </w:rPr>
        <w:t>должен быть прост в использовании</w:t>
      </w:r>
      <w:r w:rsidRPr="00BC3734">
        <w:rPr>
          <w:color w:val="000000"/>
        </w:rPr>
        <w:t>. Управление осуществляется двумя кнопками. Одна включает прибор, вторая переводит в пассивный режим.</w:t>
      </w:r>
    </w:p>
    <w:p w:rsidR="00BC3734" w:rsidRPr="00BC3734" w:rsidRDefault="00BC3734" w:rsidP="00BC3734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C3734">
        <w:rPr>
          <w:color w:val="000000"/>
        </w:rPr>
        <w:t>Два световых индикатора оповещают о состоянии алко</w:t>
      </w:r>
      <w:r w:rsidR="007D67D4">
        <w:rPr>
          <w:color w:val="000000"/>
        </w:rPr>
        <w:t>метра</w:t>
      </w:r>
      <w:r w:rsidRPr="00BC3734">
        <w:rPr>
          <w:color w:val="000000"/>
        </w:rPr>
        <w:t xml:space="preserve"> и о концентрации алкоголя в выдохе. При показаниях в диапазоне 0,00-0,05 промилле загорается зеленый свет, 0,06-0,20 промилле – оранжевый, более 0.20 промилле – красный.</w:t>
      </w:r>
    </w:p>
    <w:p w:rsidR="00BC3734" w:rsidRPr="00BC3734" w:rsidRDefault="007D67D4" w:rsidP="00BC3734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Алкометр должен быть</w:t>
      </w:r>
      <w:r w:rsidR="00BC3734" w:rsidRPr="00BC3734">
        <w:rPr>
          <w:color w:val="000000"/>
        </w:rPr>
        <w:t xml:space="preserve"> внесен в государственный реестр средств измерений</w:t>
      </w:r>
      <w:r>
        <w:rPr>
          <w:color w:val="000000"/>
        </w:rPr>
        <w:t xml:space="preserve"> и</w:t>
      </w:r>
      <w:r w:rsidR="00BC3734" w:rsidRPr="00BC3734">
        <w:rPr>
          <w:color w:val="000000"/>
        </w:rPr>
        <w:t xml:space="preserve"> являет</w:t>
      </w:r>
      <w:r>
        <w:rPr>
          <w:color w:val="000000"/>
        </w:rPr>
        <w:t>ь</w:t>
      </w:r>
      <w:r w:rsidR="00BC3734" w:rsidRPr="00BC3734">
        <w:rPr>
          <w:color w:val="000000"/>
        </w:rPr>
        <w:t>ся прибором медицинского назначения. Алко</w:t>
      </w:r>
      <w:r>
        <w:rPr>
          <w:color w:val="000000"/>
        </w:rPr>
        <w:t>метр</w:t>
      </w:r>
      <w:r w:rsidR="00BC3734" w:rsidRPr="00BC3734">
        <w:rPr>
          <w:color w:val="000000"/>
        </w:rPr>
        <w:t xml:space="preserve"> экономно расходует энергию. Заряда одного комплекта батареек </w:t>
      </w:r>
      <w:r>
        <w:rPr>
          <w:color w:val="000000"/>
        </w:rPr>
        <w:t xml:space="preserve">должно </w:t>
      </w:r>
      <w:r w:rsidR="00BC3734" w:rsidRPr="00BC3734">
        <w:rPr>
          <w:color w:val="000000"/>
        </w:rPr>
        <w:t>хват</w:t>
      </w:r>
      <w:r>
        <w:rPr>
          <w:color w:val="000000"/>
        </w:rPr>
        <w:t>ать</w:t>
      </w:r>
      <w:r w:rsidR="00BC3734" w:rsidRPr="00BC3734">
        <w:rPr>
          <w:color w:val="000000"/>
        </w:rPr>
        <w:t xml:space="preserve"> на 3000 измерений.</w:t>
      </w:r>
    </w:p>
    <w:p w:rsidR="00BC3734" w:rsidRPr="00BC3734" w:rsidRDefault="007D67D4" w:rsidP="00BC3734">
      <w:pPr>
        <w:pStyle w:val="2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преимущества алкометра</w:t>
      </w:r>
      <w:r w:rsidR="00BC3734" w:rsidRPr="00BC37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3734" w:rsidRPr="00BC3734" w:rsidRDefault="00BC3734" w:rsidP="00BC373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734">
        <w:rPr>
          <w:rFonts w:ascii="Times New Roman" w:hAnsi="Times New Roman" w:cs="Times New Roman"/>
          <w:color w:val="000000"/>
          <w:sz w:val="24"/>
          <w:szCs w:val="24"/>
        </w:rPr>
        <w:t>Высокоизбирательный электрохимический датчик, который не реагирует на возможные примеси в выдыхаемом воздухе.</w:t>
      </w:r>
    </w:p>
    <w:p w:rsidR="00BC3734" w:rsidRPr="00BC3734" w:rsidRDefault="00BC3734" w:rsidP="00BC373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734">
        <w:rPr>
          <w:rFonts w:ascii="Times New Roman" w:hAnsi="Times New Roman" w:cs="Times New Roman"/>
          <w:color w:val="000000"/>
          <w:sz w:val="24"/>
          <w:szCs w:val="24"/>
        </w:rPr>
        <w:t>Высокая чувствительность в области малых концентраций.</w:t>
      </w:r>
    </w:p>
    <w:p w:rsidR="00BC3734" w:rsidRPr="00BC3734" w:rsidRDefault="00BC3734" w:rsidP="00BC373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734">
        <w:rPr>
          <w:rFonts w:ascii="Times New Roman" w:hAnsi="Times New Roman" w:cs="Times New Roman"/>
          <w:color w:val="000000"/>
          <w:sz w:val="24"/>
          <w:szCs w:val="24"/>
        </w:rPr>
        <w:t>Прибор автоматически самотестируется на остатки алкогольных паров после предыдущего теста.</w:t>
      </w:r>
    </w:p>
    <w:p w:rsidR="00BC3734" w:rsidRPr="00BC3734" w:rsidRDefault="00BC3734" w:rsidP="00BC373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734">
        <w:rPr>
          <w:rFonts w:ascii="Times New Roman" w:hAnsi="Times New Roman" w:cs="Times New Roman"/>
          <w:color w:val="000000"/>
          <w:sz w:val="24"/>
          <w:szCs w:val="24"/>
        </w:rPr>
        <w:t>Работает без мундштуков (безмунштучный).</w:t>
      </w:r>
    </w:p>
    <w:p w:rsidR="00BC3734" w:rsidRPr="00BC3734" w:rsidRDefault="00BC3734" w:rsidP="00BC373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734">
        <w:rPr>
          <w:rFonts w:ascii="Times New Roman" w:hAnsi="Times New Roman" w:cs="Times New Roman"/>
          <w:color w:val="000000"/>
          <w:sz w:val="24"/>
          <w:szCs w:val="24"/>
        </w:rPr>
        <w:t>Алко</w:t>
      </w:r>
      <w:r w:rsidR="007D67D4">
        <w:rPr>
          <w:rFonts w:ascii="Times New Roman" w:hAnsi="Times New Roman" w:cs="Times New Roman"/>
          <w:color w:val="000000"/>
          <w:sz w:val="24"/>
          <w:szCs w:val="24"/>
        </w:rPr>
        <w:t>метр</w:t>
      </w:r>
      <w:r w:rsidRPr="00BC3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7D4">
        <w:rPr>
          <w:rFonts w:ascii="Times New Roman" w:hAnsi="Times New Roman" w:cs="Times New Roman"/>
          <w:color w:val="000000"/>
          <w:sz w:val="24"/>
          <w:szCs w:val="24"/>
        </w:rPr>
        <w:t>должен иметь</w:t>
      </w:r>
      <w:r w:rsidRPr="00BC3734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автономное батарейное питание, а также сигнализацию о снижении напряжения на батареях (контроль разряда).</w:t>
      </w:r>
    </w:p>
    <w:p w:rsidR="00BC3734" w:rsidRPr="00BC3734" w:rsidRDefault="00BC3734" w:rsidP="00BC373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734">
        <w:rPr>
          <w:rFonts w:ascii="Times New Roman" w:hAnsi="Times New Roman" w:cs="Times New Roman"/>
          <w:color w:val="000000"/>
          <w:sz w:val="24"/>
          <w:szCs w:val="24"/>
        </w:rPr>
        <w:t>Прибор не требует прогрева и постоянно готов к работе, а также предупреждает о недостаточной силе выдоха.</w:t>
      </w:r>
    </w:p>
    <w:p w:rsidR="007D67D4" w:rsidRDefault="007D67D4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sectPr w:rsidR="007D67D4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на основании протокола подведения итогов Запроса цен в электронн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ой форме № _____ от _________,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BC3734">
        <w:rPr>
          <w:rFonts w:ascii="Times New Roman" w:hAnsi="Times New Roman" w:cs="Times New Roman"/>
          <w:b/>
          <w:sz w:val="23"/>
          <w:szCs w:val="23"/>
        </w:rPr>
        <w:t>алкометр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CA0D47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дней.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</w:t>
      </w:r>
      <w:r w:rsidR="00BC3734">
        <w:rPr>
          <w:rFonts w:ascii="Times New Roman" w:eastAsia="Times New Roman" w:hAnsi="Times New Roman" w:cs="Times New Roman"/>
          <w:sz w:val="23"/>
          <w:szCs w:val="23"/>
        </w:rPr>
        <w:t xml:space="preserve">иные документы, подтверждающие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поставленный Товар Поставщиком на соответствие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>с экспертизой Товара расходы.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="00F927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момента поставки Товара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Поставщиком и до его оплаты Заказчиком Товар не признается находящимся в залоге у Поставщика, п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 xml:space="preserve">раво собственности на Товар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Качество и технические характеристики поставляемого Товара должны соответствовать условиям Приложения,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нормативно-правовым актам РФ.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Поставляемый Товар должен быть безо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пасен, разрешен для применения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</w:t>
      </w:r>
      <w:r w:rsidR="00F92760">
        <w:rPr>
          <w:rFonts w:ascii="Times New Roman" w:eastAsia="Times New Roman" w:hAnsi="Times New Roman" w:cs="Times New Roman"/>
          <w:sz w:val="23"/>
          <w:szCs w:val="23"/>
        </w:rPr>
        <w:t xml:space="preserve"> свой счет в течение 3 рабочих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</w:t>
      </w:r>
      <w:r w:rsidR="00CA0D47">
        <w:rPr>
          <w:rFonts w:ascii="Times New Roman" w:eastAsia="Times New Roman" w:hAnsi="Times New Roman" w:cs="Times New Roman"/>
          <w:sz w:val="23"/>
          <w:szCs w:val="23"/>
        </w:rPr>
        <w:t xml:space="preserve">еустойку в виде пени в размере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B93E00" w:rsidRPr="00B93E00" w:rsidRDefault="00B93E00" w:rsidP="00B93E00">
      <w:pPr>
        <w:pStyle w:val="afff4"/>
        <w:keepNext/>
        <w:tabs>
          <w:tab w:val="left" w:pos="10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 xml:space="preserve">Расчет начальной (максимальной) цены </w:t>
      </w:r>
      <w:r w:rsidR="00373F8F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E71EBB">
        <w:rPr>
          <w:rFonts w:ascii="Times New Roman" w:hAnsi="Times New Roman" w:cs="Times New Roman"/>
          <w:b/>
          <w:sz w:val="24"/>
          <w:szCs w:val="24"/>
        </w:rPr>
        <w:t>алкометра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B93E00" w:rsidRPr="00B93E00" w:rsidRDefault="00B93E00" w:rsidP="00B93E00">
      <w:pPr>
        <w:pStyle w:val="afff4"/>
        <w:keepNext/>
        <w:numPr>
          <w:ilvl w:val="0"/>
          <w:numId w:val="13"/>
        </w:numPr>
        <w:tabs>
          <w:tab w:val="left" w:pos="10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2599"/>
        <w:gridCol w:w="824"/>
        <w:gridCol w:w="1110"/>
        <w:gridCol w:w="1373"/>
        <w:gridCol w:w="1488"/>
        <w:gridCol w:w="1549"/>
        <w:gridCol w:w="1135"/>
        <w:gridCol w:w="1507"/>
        <w:gridCol w:w="1556"/>
        <w:gridCol w:w="1415"/>
      </w:tblGrid>
      <w:tr w:rsidR="00055579" w:rsidRPr="00B93E00" w:rsidTr="00E71EBB">
        <w:trPr>
          <w:trHeight w:val="1768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055579" w:rsidRPr="00055579" w:rsidTr="00E10829">
              <w:trPr>
                <w:trHeight w:val="1637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520700</wp:posOffset>
                        </wp:positionV>
                        <wp:extent cx="895350" cy="466725"/>
                        <wp:effectExtent l="19050" t="0" r="0" b="0"/>
                        <wp:wrapNone/>
                        <wp:docPr id="5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5"/>
            </w:tblGrid>
            <w:tr w:rsidR="00055579" w:rsidRPr="00055579" w:rsidTr="00E10829">
              <w:trPr>
                <w:trHeight w:val="1752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055579" w:rsidRPr="00055579" w:rsidRDefault="00055579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55579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454025</wp:posOffset>
                        </wp:positionV>
                        <wp:extent cx="781050" cy="390525"/>
                        <wp:effectExtent l="19050" t="0" r="0" b="0"/>
                        <wp:wrapNone/>
                        <wp:docPr id="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55579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55579" w:rsidRPr="00055579" w:rsidRDefault="00055579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055579" w:rsidRPr="00B93E00" w:rsidTr="00E71EBB">
        <w:trPr>
          <w:trHeight w:val="114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579" w:rsidRPr="00055579" w:rsidRDefault="00055579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CC5A7F" w:rsidRPr="00F92760" w:rsidRDefault="00E71EBB" w:rsidP="00CC5A7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Алкометр для предрейсового осмотра водителей</w:t>
            </w:r>
          </w:p>
          <w:p w:rsidR="00055579" w:rsidRPr="00CC5A7F" w:rsidRDefault="00CC5A7F" w:rsidP="00CC5A7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с соответствующими характеристиками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CC5A7F" w:rsidRDefault="00CC5A7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  <w:r w:rsidR="00CC5A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="00CC5A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  <w:r w:rsidR="00CC5A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  <w:r w:rsidR="00CC5A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579" w:rsidRPr="00055579" w:rsidRDefault="00E71EBB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  <w:r w:rsidR="00CC5A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5579" w:rsidRPr="00B93E00" w:rsidTr="00E71EBB">
        <w:trPr>
          <w:trHeight w:val="20"/>
        </w:trPr>
        <w:tc>
          <w:tcPr>
            <w:tcW w:w="228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0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noWrap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B93E00" w:rsidRPr="00B93E00" w:rsidRDefault="00B93E00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:rsidR="00B93E00" w:rsidRPr="00B93E00" w:rsidRDefault="00E71EBB" w:rsidP="00373F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54000</w:t>
            </w:r>
            <w:r w:rsidR="00CC5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8F555F" w:rsidRDefault="008F555F" w:rsidP="00434200">
      <w:pPr>
        <w:adjustRightInd w:val="0"/>
        <w:jc w:val="center"/>
        <w:outlineLvl w:val="0"/>
        <w:rPr>
          <w:spacing w:val="-4"/>
        </w:rPr>
      </w:pPr>
    </w:p>
    <w:p w:rsidR="00434200" w:rsidRPr="00434200" w:rsidRDefault="00434200" w:rsidP="00434200">
      <w:pPr>
        <w:adjustRightInd w:val="0"/>
        <w:jc w:val="left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434200">
        <w:rPr>
          <w:rFonts w:ascii="Times New Roman" w:hAnsi="Times New Roman" w:cs="Times New Roman"/>
          <w:spacing w:val="-4"/>
          <w:sz w:val="24"/>
          <w:szCs w:val="24"/>
        </w:rPr>
        <w:t xml:space="preserve">Контрактный управляющий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</w:t>
      </w:r>
      <w:r w:rsidRPr="00434200">
        <w:rPr>
          <w:rFonts w:ascii="Times New Roman" w:hAnsi="Times New Roman" w:cs="Times New Roman"/>
          <w:spacing w:val="-4"/>
          <w:sz w:val="24"/>
          <w:szCs w:val="24"/>
        </w:rPr>
        <w:t>Густякова Л.В.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</w:pP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lastRenderedPageBreak/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C8" w:rsidRDefault="00B878C8">
      <w:pPr>
        <w:spacing w:after="0" w:line="240" w:lineRule="auto"/>
      </w:pPr>
      <w:r>
        <w:separator/>
      </w:r>
    </w:p>
  </w:endnote>
  <w:endnote w:type="continuationSeparator" w:id="1">
    <w:p w:rsidR="00B878C8" w:rsidRDefault="00B8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C8" w:rsidRDefault="00B878C8">
      <w:pPr>
        <w:spacing w:after="0" w:line="240" w:lineRule="auto"/>
      </w:pPr>
      <w:r>
        <w:separator/>
      </w:r>
    </w:p>
  </w:footnote>
  <w:footnote w:type="continuationSeparator" w:id="1">
    <w:p w:rsidR="00B878C8" w:rsidRDefault="00B8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34" w:rsidRDefault="00505DE5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C373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C3734" w:rsidRDefault="00BC37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BF667E"/>
    <w:multiLevelType w:val="multilevel"/>
    <w:tmpl w:val="5F1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0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1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3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8"/>
  </w:num>
  <w:num w:numId="5">
    <w:abstractNumId w:val="22"/>
  </w:num>
  <w:num w:numId="6">
    <w:abstractNumId w:val="26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1"/>
  </w:num>
  <w:num w:numId="12">
    <w:abstractNumId w:val="16"/>
  </w:num>
  <w:num w:numId="13">
    <w:abstractNumId w:val="24"/>
  </w:num>
  <w:num w:numId="14">
    <w:abstractNumId w:val="8"/>
  </w:num>
  <w:num w:numId="15">
    <w:abstractNumId w:val="10"/>
  </w:num>
  <w:num w:numId="16">
    <w:abstractNumId w:val="13"/>
  </w:num>
  <w:num w:numId="17">
    <w:abstractNumId w:val="19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25"/>
  </w:num>
  <w:num w:numId="23">
    <w:abstractNumId w:val="17"/>
  </w:num>
  <w:num w:numId="24">
    <w:abstractNumId w:val="7"/>
  </w:num>
  <w:num w:numId="25">
    <w:abstractNumId w:val="1"/>
  </w:num>
  <w:num w:numId="26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03EE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D54AE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1588D"/>
    <w:rsid w:val="0022308E"/>
    <w:rsid w:val="00224A45"/>
    <w:rsid w:val="00224D84"/>
    <w:rsid w:val="00224EAD"/>
    <w:rsid w:val="00226A8F"/>
    <w:rsid w:val="00236C52"/>
    <w:rsid w:val="00243898"/>
    <w:rsid w:val="002476D3"/>
    <w:rsid w:val="002517D0"/>
    <w:rsid w:val="00257D7F"/>
    <w:rsid w:val="00264D3C"/>
    <w:rsid w:val="00271629"/>
    <w:rsid w:val="002733A2"/>
    <w:rsid w:val="0027387F"/>
    <w:rsid w:val="00283A65"/>
    <w:rsid w:val="002B49F4"/>
    <w:rsid w:val="002C30EA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0A2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01B2"/>
    <w:rsid w:val="003F7CF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94240"/>
    <w:rsid w:val="004A141D"/>
    <w:rsid w:val="004B5273"/>
    <w:rsid w:val="004C24DD"/>
    <w:rsid w:val="004D2109"/>
    <w:rsid w:val="00504DF6"/>
    <w:rsid w:val="00505DE5"/>
    <w:rsid w:val="00513E66"/>
    <w:rsid w:val="00534556"/>
    <w:rsid w:val="0053743C"/>
    <w:rsid w:val="00540838"/>
    <w:rsid w:val="00540C5C"/>
    <w:rsid w:val="00544B47"/>
    <w:rsid w:val="005558DF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074FF"/>
    <w:rsid w:val="00630B7D"/>
    <w:rsid w:val="00635061"/>
    <w:rsid w:val="006417AE"/>
    <w:rsid w:val="00642B19"/>
    <w:rsid w:val="00655D1C"/>
    <w:rsid w:val="00670935"/>
    <w:rsid w:val="00670BA3"/>
    <w:rsid w:val="0067125B"/>
    <w:rsid w:val="0067445C"/>
    <w:rsid w:val="0068370D"/>
    <w:rsid w:val="00684F10"/>
    <w:rsid w:val="00692BE1"/>
    <w:rsid w:val="0069357F"/>
    <w:rsid w:val="00696963"/>
    <w:rsid w:val="006A2B03"/>
    <w:rsid w:val="006B3744"/>
    <w:rsid w:val="006B6712"/>
    <w:rsid w:val="006B6B48"/>
    <w:rsid w:val="006C575A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D67D4"/>
    <w:rsid w:val="007F7955"/>
    <w:rsid w:val="00805232"/>
    <w:rsid w:val="00825D23"/>
    <w:rsid w:val="00835F1E"/>
    <w:rsid w:val="00841CDE"/>
    <w:rsid w:val="00844425"/>
    <w:rsid w:val="00844A53"/>
    <w:rsid w:val="0085205D"/>
    <w:rsid w:val="00852E03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24CED"/>
    <w:rsid w:val="009308EA"/>
    <w:rsid w:val="00930CAA"/>
    <w:rsid w:val="00936C73"/>
    <w:rsid w:val="00940970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65B4"/>
    <w:rsid w:val="009F71E7"/>
    <w:rsid w:val="009F79D9"/>
    <w:rsid w:val="00A03E5F"/>
    <w:rsid w:val="00A0532A"/>
    <w:rsid w:val="00A05F39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64041"/>
    <w:rsid w:val="00A743E3"/>
    <w:rsid w:val="00A92130"/>
    <w:rsid w:val="00AA3E4E"/>
    <w:rsid w:val="00AC4302"/>
    <w:rsid w:val="00AD2B3C"/>
    <w:rsid w:val="00AE75CF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4717F"/>
    <w:rsid w:val="00B510BB"/>
    <w:rsid w:val="00B57EDB"/>
    <w:rsid w:val="00B71F5E"/>
    <w:rsid w:val="00B75395"/>
    <w:rsid w:val="00B82128"/>
    <w:rsid w:val="00B878C8"/>
    <w:rsid w:val="00B91DB9"/>
    <w:rsid w:val="00B93E00"/>
    <w:rsid w:val="00BB3527"/>
    <w:rsid w:val="00BC3734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36582"/>
    <w:rsid w:val="00C463A7"/>
    <w:rsid w:val="00C4732F"/>
    <w:rsid w:val="00C55D7D"/>
    <w:rsid w:val="00C60CB4"/>
    <w:rsid w:val="00C61554"/>
    <w:rsid w:val="00C61A4C"/>
    <w:rsid w:val="00C6617B"/>
    <w:rsid w:val="00C71322"/>
    <w:rsid w:val="00C720E9"/>
    <w:rsid w:val="00C77253"/>
    <w:rsid w:val="00C81C78"/>
    <w:rsid w:val="00C83181"/>
    <w:rsid w:val="00C90314"/>
    <w:rsid w:val="00C92043"/>
    <w:rsid w:val="00C97B5E"/>
    <w:rsid w:val="00CA0D47"/>
    <w:rsid w:val="00CA2A42"/>
    <w:rsid w:val="00CA3876"/>
    <w:rsid w:val="00CB3BFF"/>
    <w:rsid w:val="00CB4CE9"/>
    <w:rsid w:val="00CC0350"/>
    <w:rsid w:val="00CC35C3"/>
    <w:rsid w:val="00CC5A7F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658FB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0594"/>
    <w:rsid w:val="00E2313C"/>
    <w:rsid w:val="00E30ABE"/>
    <w:rsid w:val="00E407D3"/>
    <w:rsid w:val="00E43A37"/>
    <w:rsid w:val="00E505B6"/>
    <w:rsid w:val="00E53E8F"/>
    <w:rsid w:val="00E54946"/>
    <w:rsid w:val="00E56383"/>
    <w:rsid w:val="00E61132"/>
    <w:rsid w:val="00E636EC"/>
    <w:rsid w:val="00E70F5B"/>
    <w:rsid w:val="00E71EBB"/>
    <w:rsid w:val="00E73643"/>
    <w:rsid w:val="00E75ADD"/>
    <w:rsid w:val="00E76001"/>
    <w:rsid w:val="00E760BB"/>
    <w:rsid w:val="00E81D16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1FA9"/>
    <w:rsid w:val="00F252E7"/>
    <w:rsid w:val="00F35F83"/>
    <w:rsid w:val="00F42140"/>
    <w:rsid w:val="00F4467C"/>
    <w:rsid w:val="00F46801"/>
    <w:rsid w:val="00F51087"/>
    <w:rsid w:val="00F55750"/>
    <w:rsid w:val="00F74A1F"/>
    <w:rsid w:val="00F82595"/>
    <w:rsid w:val="00F866B8"/>
    <w:rsid w:val="00F879CD"/>
    <w:rsid w:val="00F92760"/>
    <w:rsid w:val="00F937C8"/>
    <w:rsid w:val="00FA0635"/>
    <w:rsid w:val="00FA281F"/>
    <w:rsid w:val="00FA3563"/>
    <w:rsid w:val="00FA4737"/>
    <w:rsid w:val="00FA7955"/>
    <w:rsid w:val="00FE5455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  <w:style w:type="paragraph" w:customStyle="1" w:styleId="ConsPlusNonformat">
    <w:name w:val="ConsPlusNonformat"/>
    <w:uiPriority w:val="99"/>
    <w:rsid w:val="003F01B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0E2895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27F1C"/>
    <w:rsid w:val="0089007E"/>
    <w:rsid w:val="008B068A"/>
    <w:rsid w:val="008C40C6"/>
    <w:rsid w:val="00934299"/>
    <w:rsid w:val="009B38DF"/>
    <w:rsid w:val="00A513F9"/>
    <w:rsid w:val="00A908F3"/>
    <w:rsid w:val="00A95E62"/>
    <w:rsid w:val="00A971B6"/>
    <w:rsid w:val="00AA7019"/>
    <w:rsid w:val="00AD369A"/>
    <w:rsid w:val="00B03D7C"/>
    <w:rsid w:val="00B205A6"/>
    <w:rsid w:val="00B20A64"/>
    <w:rsid w:val="00B8165D"/>
    <w:rsid w:val="00BA24D5"/>
    <w:rsid w:val="00CB0F1E"/>
    <w:rsid w:val="00D11C11"/>
    <w:rsid w:val="00D5668F"/>
    <w:rsid w:val="00D93738"/>
    <w:rsid w:val="00DA6C5D"/>
    <w:rsid w:val="00E956D5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1692</TotalTime>
  <Pages>20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95</cp:revision>
  <cp:lastPrinted>2016-11-30T05:39:00Z</cp:lastPrinted>
  <dcterms:created xsi:type="dcterms:W3CDTF">2016-03-25T06:36:00Z</dcterms:created>
  <dcterms:modified xsi:type="dcterms:W3CDTF">2017-09-07T08:13:00Z</dcterms:modified>
</cp:coreProperties>
</file>