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4E0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4E0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B93E00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поставку </w:t>
      </w:r>
      <w:r w:rsidR="004E03BF">
        <w:rPr>
          <w:rFonts w:ascii="Times New Roman" w:eastAsia="Calibri" w:hAnsi="Times New Roman" w:cs="Times New Roman"/>
          <w:b/>
          <w:sz w:val="24"/>
          <w:szCs w:val="24"/>
        </w:rPr>
        <w:t>офисной бумаги</w:t>
      </w: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4E03B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8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543C40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543C40">
        <w:fldChar w:fldCharType="begin"/>
      </w:r>
      <w:r w:rsidR="003A47D0" w:rsidRPr="00BE18E5">
        <w:instrText xml:space="preserve"> TOC \o "1-3" \h \z \u </w:instrText>
      </w:r>
      <w:r w:rsidRPr="00543C40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4E03BF">
        <w:t>2</w:t>
      </w:r>
    </w:p>
    <w:p w:rsidR="00F866B8" w:rsidRPr="00BE18E5" w:rsidRDefault="00543C4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543C4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43C40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543C40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543C4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543C4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543C40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543C4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543C40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543C40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543C4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543C4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543C4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E81D16">
        <w:t>4</w:t>
      </w:r>
    </w:p>
    <w:p w:rsidR="00F866B8" w:rsidRPr="00BE18E5" w:rsidRDefault="00543C40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A14B40">
        <w:t>9</w:t>
      </w:r>
    </w:p>
    <w:p w:rsidR="003A47D0" w:rsidRPr="00F35F83" w:rsidRDefault="00543C4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lastRenderedPageBreak/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="007F2F99">
              <w:rPr>
                <w:rFonts w:ascii="Times New Roman" w:hAnsi="Times New Roman" w:cs="Times New Roman"/>
                <w:sz w:val="24"/>
                <w:szCs w:val="24"/>
              </w:rPr>
              <w:t xml:space="preserve"> 8(4852) 32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F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F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7F2F99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ОМТС (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Поставка </w:t>
            </w:r>
            <w:r w:rsidR="007F2F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офисной бумаги</w:t>
            </w:r>
            <w:r w:rsidR="00B93E00" w:rsidRPr="00B93E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7F2F9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 течение </w:t>
                </w:r>
                <w:r w:rsidR="007F2F99">
                  <w:rPr>
                    <w:rFonts w:ascii="Times New Roman" w:hAnsi="Times New Roman" w:cs="Times New Roman"/>
                    <w:sz w:val="24"/>
                    <w:szCs w:val="24"/>
                  </w:rPr>
                  <w:t>20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</w:rPr>
                  <w:t>рабочих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бюджета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</w:p>
          <w:p w:rsidR="0006164B" w:rsidRDefault="00543C4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7F2F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32658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(</w:t>
                </w:r>
                <w:r w:rsidR="007F2F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Тридцать две</w:t>
                </w:r>
                <w:r w:rsidR="00B03713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</w:t>
                </w:r>
                <w:r w:rsidR="007F2F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и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7F2F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шестьсот пятьдесят восемь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7F2F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30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543C40" w:rsidP="006C575A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</w:t>
                </w:r>
                <w:r w:rsidR="007F2F99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в следующем порядке: в течение 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товарной накладной (ТОРГ-12) при наличии на 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технических характеристик </w:t>
            </w:r>
            <w:r w:rsidR="00B93E00">
              <w:rPr>
                <w:rFonts w:ascii="Times New Roman" w:eastAsia="Arial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товара с указание страны происхождения товара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орых определен 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543C40" w:rsidP="00DA3859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8-10-1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A385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11.10.2018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543C40" w:rsidP="00DA3859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8-10-1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DA385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12.10.2018</w:t>
                </w:r>
              </w:sdtContent>
            </w:sdt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2C30E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закупки является право заключения </w:t>
            </w:r>
            <w:r w:rsidR="002C3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B37607" w:rsidRDefault="00B37607" w:rsidP="007F2F9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</w:t>
            </w:r>
            <w:r w:rsidR="007F2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офисной бумаги</w:t>
            </w:r>
            <w:r w:rsidRPr="00B37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нужд ГПОАУ ЯО Ярославского педагогического колледжа. </w:t>
            </w: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Характеристики и количество товаров указано в Спецификации (п. 16 настоящего технического задания).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74AD0" w:rsidRPr="00FD5578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7F2F99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32658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74AD0"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коп., включая НДС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074AD0" w:rsidRPr="00B37607" w:rsidRDefault="00B37607" w:rsidP="00074A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</w:rPr>
              <w:t>Обеспечение нужд ГПОАУ ЯО Ярославского педагогического колледжа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074AD0" w:rsidRPr="00A303B6" w:rsidRDefault="00074AD0" w:rsidP="00B3760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</w:t>
            </w:r>
            <w:r w:rsidR="007F2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банковских дней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02, г. Ярославль, ул. Маланова,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 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поставки Товара:  в течение</w:t>
            </w:r>
            <w:r w:rsidR="007F2F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рабочих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дней с даты заключения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074AD0" w:rsidRPr="00A303B6" w:rsidRDefault="00074AD0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 w:rsidR="00B3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 себя стоимость доставки, стоимость разгрузочно-по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грузочных работ, тары, упаковки.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B37607">
            <w:pPr>
              <w:tabs>
                <w:tab w:val="left" w:pos="29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посредством применения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  <w:r w:rsidRPr="00A3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товару См. раздел № 2</w:t>
            </w:r>
          </w:p>
          <w:p w:rsidR="00074AD0" w:rsidRPr="00A303B6" w:rsidRDefault="00074AD0" w:rsidP="009F71E7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Нет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AD0" w:rsidRPr="00A303B6" w:rsidTr="00B37607">
        <w:trPr>
          <w:trHeight w:val="420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Требования по передаче заказчику технических и иных 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документов при поставке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Технические и иные документы предоставляются по запросу Заказчика</w:t>
            </w:r>
          </w:p>
        </w:tc>
      </w:tr>
      <w:tr w:rsidR="00074AD0" w:rsidRPr="00A303B6" w:rsidTr="009F71E7">
        <w:trPr>
          <w:trHeight w:val="556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безопасности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ГОСТами Российской Федерации, разрешающими ее применение на территории Российской Федерации. </w:t>
            </w:r>
          </w:p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продукция должна иметь товарный вид, быть 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сдачи и приемки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B3760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товар на соответствие количества, комплектности, качества требованиям, установленным настоящим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Контракту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5F33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6095" w:type="dxa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требуется</w:t>
            </w:r>
          </w:p>
        </w:tc>
      </w:tr>
      <w:tr w:rsidR="00074AD0" w:rsidRPr="00A303B6" w:rsidTr="009C6146">
        <w:tc>
          <w:tcPr>
            <w:tcW w:w="709" w:type="dxa"/>
            <w:vAlign w:val="center"/>
          </w:tcPr>
          <w:p w:rsidR="00074AD0" w:rsidRPr="00A303B6" w:rsidRDefault="00074AD0" w:rsidP="00B3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B37607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6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 сроку гарантий:</w:t>
            </w:r>
          </w:p>
        </w:tc>
        <w:tc>
          <w:tcPr>
            <w:tcW w:w="6095" w:type="dxa"/>
            <w:vAlign w:val="center"/>
          </w:tcPr>
          <w:p w:rsidR="00B37607" w:rsidRPr="00B37607" w:rsidRDefault="00B37607" w:rsidP="00B37607">
            <w:pPr>
              <w:widowControl w:val="0"/>
              <w:tabs>
                <w:tab w:val="left" w:pos="0"/>
                <w:tab w:val="left" w:pos="189"/>
                <w:tab w:val="left" w:pos="168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76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гарантии со дня поставки в соответствии с техническими характеристиками товара</w:t>
            </w:r>
          </w:p>
          <w:p w:rsidR="00074AD0" w:rsidRPr="00B37607" w:rsidRDefault="00074AD0" w:rsidP="009C6146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7607" w:rsidRDefault="00B37607" w:rsidP="00B3760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7607" w:rsidRPr="00B37607" w:rsidRDefault="00B37607" w:rsidP="00B37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607">
        <w:rPr>
          <w:rFonts w:ascii="Times New Roman" w:hAnsi="Times New Roman" w:cs="Times New Roman"/>
          <w:sz w:val="24"/>
          <w:szCs w:val="24"/>
        </w:rPr>
        <w:t>16 Спецификация</w:t>
      </w:r>
    </w:p>
    <w:p w:rsidR="00B37607" w:rsidRPr="00B37607" w:rsidRDefault="00B37607" w:rsidP="00B3760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05"/>
        <w:gridCol w:w="954"/>
        <w:gridCol w:w="1335"/>
        <w:gridCol w:w="1344"/>
        <w:gridCol w:w="1559"/>
      </w:tblGrid>
      <w:tr w:rsidR="007F2F99" w:rsidRPr="00B37607" w:rsidTr="00C35C77">
        <w:tc>
          <w:tcPr>
            <w:tcW w:w="709" w:type="dxa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  <w:r w:rsidRPr="007F2F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5" w:type="dxa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954" w:type="dxa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35" w:type="dxa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344" w:type="dxa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F2F99" w:rsidRPr="00B37607" w:rsidTr="00C35C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Бумага офисная: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Тип: бумага для принтера;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- 500 листов в пачке;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Формат: А4;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Белизна: 146% (</w:t>
            </w:r>
            <w:r w:rsidRPr="007F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CIE</w:t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Плотность: 80 г/м</w:t>
            </w:r>
            <w:r w:rsidRPr="007F2F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Размер листа: 29.7 см х 21 см;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Упаковка: бумажная обертка;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Отбелка целлюлозы без хлора (</w:t>
            </w:r>
            <w:r w:rsidRPr="007F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ECF</w:t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 xml:space="preserve">- Для многолетнего архивного </w:t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(ГОСТ Р ИСО 9706-2000);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 xml:space="preserve">- Сертифицирована по экологическим стандартам </w:t>
            </w:r>
            <w:r w:rsidRPr="007F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FSC</w:t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Ecolabel</w:t>
            </w: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- Страна: Россия.</w:t>
            </w:r>
          </w:p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или эквивалент с соответствующими характеристиками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9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9" w:rsidRPr="007F2F99" w:rsidRDefault="007F2F99" w:rsidP="007F2F9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750" w:rsidRPr="001A5B5F" w:rsidRDefault="00F55750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Pr="00454B3A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lastRenderedPageBreak/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5558DF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Контракт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г. Ярославль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</w:r>
      <w:r w:rsidRPr="00454B3A"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«____» ______________ г.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именуемое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дальнейшем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«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»,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лице директора М.Е. Лаврова, действующего на основании Устава,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одной стороны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____________________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454B3A">
        <w:rPr>
          <w:rFonts w:ascii="Times New Roman" w:eastAsia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на основании протокола подведения итогов Запроса цен в электронной форме № _____ от _________,  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заключили настоящий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Cs/>
          <w:sz w:val="23"/>
          <w:szCs w:val="23"/>
        </w:rPr>
        <w:t xml:space="preserve"> о нижеследующем:</w:t>
      </w:r>
    </w:p>
    <w:p w:rsidR="00A40758" w:rsidRPr="00454B3A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 </w:t>
      </w:r>
      <w:r w:rsidR="005558DF">
        <w:rPr>
          <w:rFonts w:ascii="Times New Roman" w:eastAsia="Times New Roman" w:hAnsi="Times New Roman" w:cs="Times New Roman"/>
          <w:b/>
          <w:bCs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а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Поставщик обязуется 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поставить </w:t>
      </w:r>
      <w:r w:rsidR="004E03BF">
        <w:rPr>
          <w:rFonts w:ascii="Times New Roman" w:hAnsi="Times New Roman" w:cs="Times New Roman"/>
          <w:b/>
          <w:sz w:val="23"/>
          <w:szCs w:val="23"/>
        </w:rPr>
        <w:t>офисную бумагу</w:t>
      </w:r>
      <w:r w:rsidR="002476D3" w:rsidRPr="00454B3A">
        <w:rPr>
          <w:rFonts w:ascii="Times New Roman" w:hAnsi="Times New Roman" w:cs="Times New Roman"/>
          <w:b/>
          <w:sz w:val="23"/>
          <w:szCs w:val="23"/>
        </w:rPr>
        <w:t xml:space="preserve"> для нужд ГПОАУ ЯО Ярославского педагогического колледжа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 порядке, форме и размере. </w:t>
      </w:r>
    </w:p>
    <w:p w:rsidR="00A40758" w:rsidRPr="00454B3A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b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а. Порядок расчетов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Цена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составляет _______________ (_________________) рублей ____ копеек, в том числе НДС _ % _____ руб. и включает в  себя стоимость доставки по адресу, указанному в п. 3.2.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а, стоимость разгрузочно-погрузочных работ, тары, упаковки и иные затраты Поставщика, связанные с исполнением настоящего </w:t>
      </w:r>
      <w:r w:rsidR="005558DF">
        <w:rPr>
          <w:rFonts w:ascii="Times New Roman" w:eastAsia="Times New Roman" w:hAnsi="Times New Roman" w:cs="Times New Roman"/>
          <w:color w:val="000000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Заказчик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 w:rsidR="004E03BF">
        <w:rPr>
          <w:rFonts w:ascii="Times New Roman" w:eastAsia="Times New Roman" w:hAnsi="Times New Roman" w:cs="Times New Roman"/>
          <w:color w:val="000000"/>
          <w:sz w:val="23"/>
          <w:szCs w:val="23"/>
        </w:rPr>
        <w:t>3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банковских дней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454B3A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Порядок и сроки поставки Товара</w:t>
      </w:r>
    </w:p>
    <w:p w:rsidR="00A40758" w:rsidRPr="00454B3A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3.1.Срок поставки: с момента заключения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а в течение </w:t>
      </w:r>
      <w:r w:rsidR="004E03BF">
        <w:rPr>
          <w:rFonts w:ascii="Times New Roman" w:eastAsia="Times New Roman" w:hAnsi="Times New Roman" w:cs="Times New Roman"/>
          <w:sz w:val="23"/>
          <w:szCs w:val="23"/>
        </w:rPr>
        <w:t xml:space="preserve">20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рабочих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дней.   </w:t>
      </w:r>
    </w:p>
    <w:p w:rsidR="00A40758" w:rsidRPr="00454B3A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3.2. Адрес доставки: 150002, г. Ярославль, ул. Маланова, д. 12 а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3.5. Заказчик проверяет поставленный Товар Поставщиком  на  соответствие  требованиям комплектности и качеству, установленных настоящим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 w:rsidR="005558DF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Поставщик несет все связанные с экспертизой Товара расходы.   </w:t>
      </w:r>
    </w:p>
    <w:p w:rsidR="00A40758" w:rsidRPr="00454B3A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3.7. Доставка Товара и разгрузочно-погрузочные работы осуществляются силами Поставщика. Поставщик обязан произвести своими силами подъем на этаж (при необходимости), разгрузку в соответствие с указаниями Заказчика. </w:t>
      </w: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</w:rPr>
        <w:lastRenderedPageBreak/>
        <w:t xml:space="preserve">3.8. </w:t>
      </w:r>
      <w:r w:rsidRPr="00454B3A">
        <w:rPr>
          <w:rFonts w:ascii="Times New Roman" w:eastAsia="Times New Roman" w:hAnsi="Times New Roman" w:cs="Times New Roman"/>
          <w:color w:val="000000"/>
          <w:sz w:val="23"/>
          <w:szCs w:val="23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454B3A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Требования к Товару, упаковке и маркировке Товара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454B3A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454B3A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40758" w:rsidRPr="00454B3A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Гарантийные обязательства</w:t>
      </w:r>
    </w:p>
    <w:p w:rsidR="00A40758" w:rsidRPr="00454B3A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A40758" w:rsidRPr="00454B3A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3"/>
          <w:szCs w:val="23"/>
        </w:rPr>
      </w:pPr>
      <w:r w:rsidRPr="00454B3A">
        <w:rPr>
          <w:sz w:val="23"/>
          <w:szCs w:val="23"/>
        </w:rPr>
        <w:t xml:space="preserve">6.1. В случае неисполнения или ненадлежащего исполнения обязательств по настоящему </w:t>
      </w:r>
      <w:r w:rsidR="005558DF">
        <w:rPr>
          <w:sz w:val="23"/>
          <w:szCs w:val="23"/>
        </w:rPr>
        <w:t>Контракт</w:t>
      </w:r>
      <w:r w:rsidRPr="00454B3A">
        <w:rPr>
          <w:sz w:val="23"/>
          <w:szCs w:val="23"/>
        </w:rPr>
        <w:t>у Стороны несут ответственность в соответствии с действующим законодательством РФ.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6.3. За нарушение сроков оплаты, определяемых настоящим </w:t>
      </w:r>
      <w:r w:rsidR="005558DF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Заказчик уплачивает </w:t>
      </w:r>
      <w:r w:rsidRPr="00454B3A">
        <w:rPr>
          <w:rFonts w:ascii="Times New Roman" w:hAnsi="Times New Roman" w:cs="Times New Roman"/>
          <w:sz w:val="23"/>
          <w:szCs w:val="23"/>
        </w:rPr>
        <w:t>Поставщику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6.4. За нарушение сроков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своих обязательств по срокам выполнения работ/оказания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6.5. В случае полного или частичного неисполнения обязательств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 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последний обязан уплатить Заказчику неустойку в размере 0,05% цены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и возместить причиненные в результате этого убытки.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00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6.6. В случае оказания услуг ненадлежащего качества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выплачивает Заказчику штраф в размере 0,05% от стоимости оказанных услуг.</w:t>
      </w:r>
    </w:p>
    <w:p w:rsidR="00A40758" w:rsidRPr="00454B3A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454B3A">
        <w:rPr>
          <w:rFonts w:ascii="Times New Roman" w:hAnsi="Times New Roman" w:cs="Times New Roman"/>
          <w:sz w:val="23"/>
          <w:szCs w:val="23"/>
        </w:rPr>
        <w:t>Поставщиком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в целях выполнения работ/оказания услуг по настоящему </w:t>
      </w:r>
      <w:r w:rsidR="000C4E73">
        <w:rPr>
          <w:rFonts w:ascii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hAnsi="Times New Roman" w:cs="Times New Roman"/>
          <w:sz w:val="23"/>
          <w:szCs w:val="23"/>
        </w:rPr>
        <w:t>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выставленные </w:t>
      </w:r>
      <w:r w:rsidRPr="00454B3A">
        <w:rPr>
          <w:rFonts w:ascii="Times New Roman" w:hAnsi="Times New Roman" w:cs="Times New Roman"/>
          <w:sz w:val="23"/>
          <w:szCs w:val="23"/>
        </w:rPr>
        <w:t xml:space="preserve">Поставщику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454B3A">
        <w:rPr>
          <w:rFonts w:ascii="Times New Roman" w:hAnsi="Times New Roman" w:cs="Times New Roman"/>
          <w:sz w:val="23"/>
          <w:szCs w:val="23"/>
        </w:rPr>
        <w:t>Поставщика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, в объеме, выполненном к моменту отказа Заказчика.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>Размер таких выплат не может превышать общей стоимости работ/услуг, предусмотренных настоящ</w:t>
      </w:r>
      <w:r w:rsidRPr="00454B3A">
        <w:rPr>
          <w:rFonts w:ascii="Times New Roman" w:hAnsi="Times New Roman" w:cs="Times New Roman"/>
          <w:sz w:val="23"/>
          <w:szCs w:val="23"/>
        </w:rPr>
        <w:t xml:space="preserve">им </w:t>
      </w:r>
      <w:r w:rsidR="000C4E73">
        <w:rPr>
          <w:rFonts w:ascii="Times New Roman" w:hAnsi="Times New Roman" w:cs="Times New Roman"/>
          <w:sz w:val="23"/>
          <w:szCs w:val="23"/>
        </w:rPr>
        <w:t>Контрактом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40758" w:rsidRPr="00454B3A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6.8. </w:t>
      </w:r>
      <w:r w:rsidRPr="00454B3A">
        <w:rPr>
          <w:rFonts w:ascii="Times New Roman" w:hAnsi="Times New Roman" w:cs="Times New Roman"/>
          <w:sz w:val="23"/>
          <w:szCs w:val="23"/>
        </w:rPr>
        <w:t>Поставщик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lastRenderedPageBreak/>
        <w:t>Споры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разногласия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которые могут возникнуть при исполнении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 будут по возможности разрешаться путем переговоров между Сторонами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.</w:t>
      </w:r>
    </w:p>
    <w:p w:rsidR="00A40758" w:rsidRPr="00454B3A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В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случае невозможности разрешения споров путем переговоров Стороны передают их на рассмотрение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Арбитражный суд Ярославской области</w:t>
      </w:r>
      <w:r w:rsidRPr="00454B3A">
        <w:rPr>
          <w:rFonts w:ascii="Times New Roman" w:eastAsia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2476D3" w:rsidRPr="00454B3A" w:rsidRDefault="002476D3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E73643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, может быть расторгнуть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E7364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действующим </w:t>
      </w:r>
      <w:r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>з</w:t>
      </w:r>
      <w:r w:rsidRPr="00454B3A">
        <w:rPr>
          <w:rFonts w:ascii="Times New Roman" w:eastAsia="Times New Roman" w:hAnsi="Times New Roman" w:cs="Times New Roman"/>
          <w:sz w:val="23"/>
          <w:szCs w:val="23"/>
        </w:rPr>
        <w:t>законодательством.</w:t>
      </w:r>
    </w:p>
    <w:p w:rsidR="00A40758" w:rsidRPr="00454B3A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C6564" w:rsidRPr="00C260D7" w:rsidRDefault="00FC6564" w:rsidP="00FC6564">
      <w:pPr>
        <w:pStyle w:val="msonormalmailrucssattributepostfix"/>
        <w:numPr>
          <w:ilvl w:val="0"/>
          <w:numId w:val="12"/>
        </w:numPr>
        <w:shd w:val="clear" w:color="auto" w:fill="FFFFFF"/>
        <w:tabs>
          <w:tab w:val="left" w:pos="1843"/>
          <w:tab w:val="left" w:pos="3119"/>
          <w:tab w:val="left" w:pos="3544"/>
          <w:tab w:val="left" w:pos="3828"/>
          <w:tab w:val="left" w:pos="4111"/>
        </w:tabs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85A4B">
        <w:rPr>
          <w:b/>
          <w:color w:val="000000"/>
        </w:rPr>
        <w:t>Антикоррупционная оговорка</w:t>
      </w:r>
    </w:p>
    <w:p w:rsidR="00FC6564" w:rsidRPr="00985A4B" w:rsidRDefault="00FC6564" w:rsidP="00FC6564">
      <w:pPr>
        <w:pStyle w:val="msonormalmailrucssattributepostfix"/>
        <w:shd w:val="clear" w:color="auto" w:fill="FFFFFF"/>
        <w:tabs>
          <w:tab w:val="left" w:pos="1843"/>
          <w:tab w:val="left" w:pos="3119"/>
          <w:tab w:val="left" w:pos="3544"/>
          <w:tab w:val="left" w:pos="3828"/>
          <w:tab w:val="left" w:pos="4111"/>
        </w:tabs>
        <w:spacing w:before="0" w:beforeAutospacing="0" w:after="0" w:afterAutospacing="0"/>
        <w:ind w:left="360"/>
        <w:rPr>
          <w:b/>
          <w:color w:val="000000"/>
          <w:sz w:val="23"/>
          <w:szCs w:val="23"/>
        </w:rPr>
      </w:pPr>
    </w:p>
    <w:p w:rsidR="00FC6564" w:rsidRPr="002A1121" w:rsidRDefault="00FC6564" w:rsidP="00FC6564">
      <w:pPr>
        <w:pStyle w:val="msonormalmailrucssattributepostfix"/>
        <w:shd w:val="clear" w:color="auto" w:fill="FFFFFF"/>
        <w:tabs>
          <w:tab w:val="left" w:pos="1843"/>
          <w:tab w:val="left" w:pos="3119"/>
          <w:tab w:val="left" w:pos="3544"/>
          <w:tab w:val="left" w:pos="3828"/>
          <w:tab w:val="left" w:pos="4111"/>
        </w:tabs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8</w:t>
      </w:r>
      <w:r w:rsidRPr="002A1121">
        <w:rPr>
          <w:color w:val="000000"/>
        </w:rPr>
        <w:t xml:space="preserve">.1. При исполнении своих обязательств по настоящему </w:t>
      </w:r>
      <w:r>
        <w:rPr>
          <w:color w:val="000000"/>
        </w:rPr>
        <w:t>Контракту</w:t>
      </w:r>
      <w:r w:rsidRPr="002A1121">
        <w:rPr>
          <w:color w:val="00000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FC6564" w:rsidRPr="002A1121" w:rsidRDefault="00FC6564" w:rsidP="00FC65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8</w:t>
      </w:r>
      <w:r w:rsidRPr="002A1121">
        <w:rPr>
          <w:color w:val="000000"/>
        </w:rPr>
        <w:t xml:space="preserve">.2. При исполнении своих обязательств по настоящему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у, Стороны, их аффилированные лица, работники или посредники не осуществляют действия, квалифицируемые применимым для целей настоящего </w:t>
      </w:r>
      <w:r>
        <w:rPr>
          <w:color w:val="000000"/>
        </w:rPr>
        <w:t>Контракт</w:t>
      </w:r>
      <w:r w:rsidRPr="002A1121">
        <w:rPr>
          <w:color w:val="000000"/>
        </w:rPr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FC6564" w:rsidRPr="002A1121" w:rsidRDefault="00FC6564" w:rsidP="00FC65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8</w:t>
      </w:r>
      <w:r w:rsidRPr="002A1121">
        <w:rPr>
          <w:color w:val="000000"/>
        </w:rPr>
        <w:t>.3. В случае возникновения у Стороны подозрений, что произошло или может произойти нарушение каких-либо положений</w:t>
      </w:r>
      <w:r>
        <w:rPr>
          <w:color w:val="000000"/>
        </w:rPr>
        <w:t xml:space="preserve"> данного</w:t>
      </w:r>
      <w:r w:rsidRPr="002A1121">
        <w:rPr>
          <w:color w:val="000000"/>
        </w:rPr>
        <w:t xml:space="preserve"> </w:t>
      </w:r>
      <w:r>
        <w:rPr>
          <w:color w:val="000000"/>
        </w:rPr>
        <w:t>пункта</w:t>
      </w:r>
      <w:r w:rsidRPr="002A1121">
        <w:rPr>
          <w:color w:val="000000"/>
        </w:rPr>
        <w:t xml:space="preserve">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</w:t>
      </w:r>
      <w:r>
        <w:rPr>
          <w:color w:val="000000"/>
        </w:rPr>
        <w:t>Контракт</w:t>
      </w:r>
      <w:r w:rsidRPr="002A1121">
        <w:rPr>
          <w:color w:val="000000"/>
        </w:rPr>
        <w:t>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получения письменного уведомления.</w:t>
      </w:r>
    </w:p>
    <w:p w:rsidR="00FC6564" w:rsidRPr="002A1121" w:rsidRDefault="00FC6564" w:rsidP="00FC65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</w:rPr>
        <w:t>8</w:t>
      </w:r>
      <w:r w:rsidRPr="002A1121">
        <w:rPr>
          <w:color w:val="000000"/>
        </w:rPr>
        <w:t xml:space="preserve">.4. 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rPr>
          <w:color w:val="000000"/>
        </w:rPr>
        <w:t>данного пункта</w:t>
      </w:r>
      <w:r w:rsidRPr="002A1121">
        <w:rPr>
          <w:color w:val="000000"/>
        </w:rPr>
        <w:t xml:space="preserve"> контрагентом, его аффилированными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FC6564" w:rsidRPr="002A1121" w:rsidRDefault="00FC6564" w:rsidP="00FC6564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2A1121">
        <w:rPr>
          <w:color w:val="000000"/>
        </w:rPr>
        <w:t xml:space="preserve">В случае нарушения одной Стороной обязательств воздерживаться от запрещенных в </w:t>
      </w:r>
      <w:r>
        <w:rPr>
          <w:color w:val="000000"/>
        </w:rPr>
        <w:t>п. 8.1, 8.2, 8.3</w:t>
      </w:r>
      <w:r w:rsidRPr="002A1121">
        <w:rPr>
          <w:color w:val="000000"/>
        </w:rPr>
        <w:t xml:space="preserve"> настоящего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а действий и/или неполучения другой Стороной в установленный в </w:t>
      </w:r>
      <w:r>
        <w:rPr>
          <w:color w:val="000000"/>
        </w:rPr>
        <w:t>п. 8.1, 8.2, 8.3</w:t>
      </w:r>
      <w:r w:rsidRPr="002A1121">
        <w:rPr>
          <w:color w:val="000000"/>
        </w:rPr>
        <w:t xml:space="preserve">  настоящего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</w:t>
      </w:r>
      <w:r>
        <w:rPr>
          <w:color w:val="000000"/>
        </w:rPr>
        <w:t>Контракт</w:t>
      </w:r>
      <w:r w:rsidRPr="002A1121">
        <w:rPr>
          <w:color w:val="000000"/>
        </w:rPr>
        <w:t xml:space="preserve">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C6564" w:rsidRDefault="00FC6564" w:rsidP="00FC6564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54B3A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A40758" w:rsidRPr="00454B3A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758" w:rsidRPr="00454B3A" w:rsidRDefault="00FC6564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>.1. Настоящий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A40758" w:rsidRPr="00454B3A" w:rsidRDefault="00FC6564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.2. Приложение № 1 является неотъемлемой частью настоящего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40758" w:rsidRPr="00454B3A" w:rsidRDefault="00FC6564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>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454B3A" w:rsidRDefault="00FC6564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9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.4. В части не урегулированной настоящим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ом, отношения Сторон регламентируются действующим законодательством РФ.  </w:t>
      </w:r>
    </w:p>
    <w:p w:rsidR="00A40758" w:rsidRPr="00454B3A" w:rsidRDefault="00FC6564" w:rsidP="00A407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.5.Настоящий </w:t>
      </w:r>
      <w:r w:rsidR="000C4E73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="00A40758" w:rsidRPr="00454B3A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40758" w:rsidRPr="00FC6564" w:rsidRDefault="00A40758" w:rsidP="00FC6564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C6564">
        <w:rPr>
          <w:rFonts w:ascii="Times New Roman" w:eastAsia="Times New Roman" w:hAnsi="Times New Roman" w:cs="Times New Roman"/>
          <w:b/>
          <w:sz w:val="23"/>
          <w:szCs w:val="23"/>
        </w:rPr>
        <w:t>Адреса, банковские реквизиты и подписи Сторон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454B3A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454B3A" w:rsidTr="009F71E7"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A40758" w:rsidRPr="00454B3A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A40758" w:rsidRPr="00454B3A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A40758" w:rsidRPr="00454B3A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A40758" w:rsidRPr="00454B3A" w:rsidRDefault="00FC6564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л/с 903080096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A40758" w:rsidRPr="00454B3A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454B3A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A40758" w:rsidRPr="00454B3A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454B3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4E03B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Спецификация </w:t>
      </w: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3950"/>
        <w:gridCol w:w="1822"/>
        <w:gridCol w:w="1297"/>
        <w:gridCol w:w="936"/>
        <w:gridCol w:w="698"/>
        <w:gridCol w:w="1416"/>
      </w:tblGrid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Сумма, руб.  </w:t>
            </w: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607" w:rsidRPr="00454B3A" w:rsidTr="00B37607">
        <w:trPr>
          <w:cantSplit/>
        </w:trPr>
        <w:tc>
          <w:tcPr>
            <w:tcW w:w="445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gridSpan w:val="5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80" w:type="dxa"/>
          </w:tcPr>
          <w:p w:rsidR="00B37607" w:rsidRPr="00454B3A" w:rsidRDefault="00B3760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Сумма прописью: </w:t>
      </w: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454B3A" w:rsidTr="009F71E7">
        <w:trPr>
          <w:trHeight w:val="883"/>
        </w:trPr>
        <w:tc>
          <w:tcPr>
            <w:tcW w:w="5240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_____________/М.Е.</w:t>
            </w:r>
            <w:bookmarkStart w:id="54" w:name="_GoBack"/>
            <w:bookmarkEnd w:id="54"/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Лавров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758" w:rsidRPr="00454B3A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 ____________</w:t>
            </w:r>
          </w:p>
          <w:p w:rsidR="00A40758" w:rsidRPr="00454B3A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3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B93E00" w:rsidRPr="00B93E00" w:rsidRDefault="00B93E00" w:rsidP="00B93E00">
      <w:pPr>
        <w:pStyle w:val="afff4"/>
        <w:keepNext/>
        <w:tabs>
          <w:tab w:val="left" w:pos="10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E00">
        <w:rPr>
          <w:rFonts w:ascii="Times New Roman" w:hAnsi="Times New Roman" w:cs="Times New Roman"/>
          <w:b/>
          <w:sz w:val="24"/>
          <w:szCs w:val="24"/>
        </w:rPr>
        <w:t xml:space="preserve">Расчет начальной (максимальной) цены </w:t>
      </w:r>
      <w:r w:rsidR="00373F8F">
        <w:rPr>
          <w:rFonts w:ascii="Times New Roman" w:hAnsi="Times New Roman" w:cs="Times New Roman"/>
          <w:b/>
          <w:sz w:val="24"/>
          <w:szCs w:val="24"/>
        </w:rPr>
        <w:t>контракта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на поставку </w:t>
      </w:r>
      <w:r w:rsidR="004E03BF">
        <w:rPr>
          <w:rFonts w:ascii="Times New Roman" w:hAnsi="Times New Roman" w:cs="Times New Roman"/>
          <w:b/>
          <w:sz w:val="24"/>
          <w:szCs w:val="24"/>
        </w:rPr>
        <w:t>офисной бумаги</w:t>
      </w:r>
      <w:r w:rsidRPr="00B93E00">
        <w:rPr>
          <w:rFonts w:ascii="Times New Roman" w:hAnsi="Times New Roman" w:cs="Times New Roman"/>
          <w:b/>
          <w:sz w:val="24"/>
          <w:szCs w:val="24"/>
        </w:rPr>
        <w:t xml:space="preserve"> для нужд ГПОАУ ЯО Ярославского педагогического колледжа</w:t>
      </w:r>
    </w:p>
    <w:p w:rsidR="00B93E00" w:rsidRPr="00B93E00" w:rsidRDefault="00B93E00" w:rsidP="00B93E00">
      <w:pPr>
        <w:pStyle w:val="afff4"/>
        <w:keepNext/>
        <w:numPr>
          <w:ilvl w:val="0"/>
          <w:numId w:val="13"/>
        </w:numPr>
        <w:tabs>
          <w:tab w:val="left" w:pos="1065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9"/>
        <w:gridCol w:w="2116"/>
        <w:gridCol w:w="664"/>
        <w:gridCol w:w="898"/>
        <w:gridCol w:w="1338"/>
        <w:gridCol w:w="1402"/>
        <w:gridCol w:w="1421"/>
        <w:gridCol w:w="1277"/>
        <w:gridCol w:w="1396"/>
        <w:gridCol w:w="1142"/>
        <w:gridCol w:w="1264"/>
        <w:gridCol w:w="1418"/>
        <w:gridCol w:w="1129"/>
      </w:tblGrid>
      <w:tr w:rsidR="00FB52B0" w:rsidRPr="00B93E00" w:rsidTr="00FB52B0">
        <w:trPr>
          <w:trHeight w:val="1768"/>
        </w:trPr>
        <w:tc>
          <w:tcPr>
            <w:tcW w:w="180" w:type="pct"/>
            <w:shd w:val="clear" w:color="auto" w:fill="auto"/>
            <w:noWrap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характеристика товара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Кол-во /объем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№ 1</w:t>
            </w:r>
          </w:p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№ 3</w:t>
            </w:r>
          </w:p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98" w:type="pct"/>
            <w:vAlign w:val="center"/>
          </w:tcPr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№ 4</w:t>
            </w:r>
          </w:p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4E03BF" w:rsidRPr="004E03BF" w:rsidRDefault="004E03BF" w:rsidP="00C35C7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Поставщик</w:t>
            </w:r>
          </w:p>
          <w:p w:rsidR="004E03BF" w:rsidRPr="004E03BF" w:rsidRDefault="004E03BF" w:rsidP="00C35C7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E03BF" w:rsidRPr="004E03BF" w:rsidRDefault="004E03BF" w:rsidP="00C35C77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 xml:space="preserve">Средняя цена за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упак.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62"/>
            </w:tblGrid>
            <w:tr w:rsidR="004E03BF" w:rsidRPr="004E03BF" w:rsidTr="00E10829">
              <w:trPr>
                <w:trHeight w:val="1637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4E03BF" w:rsidRPr="004E03BF" w:rsidRDefault="004E03BF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E03BF"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8720" behindDoc="0" locked="0" layoutInCell="1" allowOverlap="1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558800</wp:posOffset>
                        </wp:positionV>
                        <wp:extent cx="695325" cy="466725"/>
                        <wp:effectExtent l="19050" t="0" r="9525" b="0"/>
                        <wp:wrapNone/>
                        <wp:docPr id="8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E03B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Среднее квадратичное отклонение, руб.</w:t>
                  </w:r>
                </w:p>
              </w:tc>
            </w:tr>
          </w:tbl>
          <w:p w:rsidR="004E03BF" w:rsidRPr="004E03BF" w:rsidRDefault="004E03BF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tbl>
            <w:tblPr>
              <w:tblW w:w="113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34"/>
            </w:tblGrid>
            <w:tr w:rsidR="004E03BF" w:rsidRPr="004E03BF" w:rsidTr="00260763">
              <w:trPr>
                <w:trHeight w:val="1601"/>
                <w:tblCellSpacing w:w="0" w:type="dxa"/>
              </w:trPr>
              <w:tc>
                <w:tcPr>
                  <w:tcW w:w="1134" w:type="dxa"/>
                  <w:shd w:val="clear" w:color="auto" w:fill="auto"/>
                  <w:hideMark/>
                </w:tcPr>
                <w:p w:rsidR="004E03BF" w:rsidRPr="004E03BF" w:rsidRDefault="004E03BF" w:rsidP="00055579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4E03BF">
                    <w:rPr>
                      <w:rFonts w:ascii="Times New Roman" w:hAnsi="Times New Roman" w:cs="Times New Roman"/>
                      <w:noProof/>
                      <w:color w:val="000000"/>
                      <w:sz w:val="22"/>
                      <w:szCs w:val="22"/>
                    </w:rPr>
                    <w:drawing>
                      <wp:anchor distT="0" distB="0" distL="114300" distR="114300" simplePos="0" relativeHeight="251677696" behindDoc="0" locked="0" layoutInCell="1" allowOverlap="1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454025</wp:posOffset>
                        </wp:positionV>
                        <wp:extent cx="781050" cy="390525"/>
                        <wp:effectExtent l="19050" t="0" r="0" b="0"/>
                        <wp:wrapNone/>
                        <wp:docPr id="9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E03BF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Коэффициент вариации, %</w:t>
                  </w:r>
                </w:p>
              </w:tc>
            </w:tr>
          </w:tbl>
          <w:p w:rsidR="004E03BF" w:rsidRPr="004E03BF" w:rsidRDefault="004E03BF" w:rsidP="0005557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НМЦК в руб.</w:t>
            </w:r>
          </w:p>
        </w:tc>
      </w:tr>
      <w:tr w:rsidR="00FB52B0" w:rsidRPr="00B93E00" w:rsidTr="00FB52B0">
        <w:trPr>
          <w:trHeight w:val="114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3BF" w:rsidRPr="004E03BF" w:rsidRDefault="004E03BF" w:rsidP="00055579">
            <w:pPr>
              <w:tabs>
                <w:tab w:val="left" w:pos="344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Офисная бумага или эквивалент с соответствующими характеристиками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30360,00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37845,00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35559,00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29527,50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BF" w:rsidRPr="004E03BF" w:rsidRDefault="004E03BF" w:rsidP="004E03B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32658,30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3790,44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BF" w:rsidRPr="004E03BF" w:rsidRDefault="004E03BF" w:rsidP="00373F8F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32658,30</w:t>
            </w:r>
          </w:p>
        </w:tc>
      </w:tr>
      <w:tr w:rsidR="00FB52B0" w:rsidRPr="00B93E00" w:rsidTr="00FB52B0">
        <w:trPr>
          <w:trHeight w:val="20"/>
        </w:trPr>
        <w:tc>
          <w:tcPr>
            <w:tcW w:w="180" w:type="pct"/>
            <w:shd w:val="clear" w:color="auto" w:fill="auto"/>
            <w:noWrap/>
          </w:tcPr>
          <w:p w:rsidR="004E03BF" w:rsidRPr="004E03BF" w:rsidRDefault="004E03BF" w:rsidP="00373F8F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9" w:type="pct"/>
            <w:shd w:val="clear" w:color="auto" w:fill="auto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07" w:type="pct"/>
            <w:shd w:val="clear" w:color="auto" w:fill="auto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shd w:val="clear" w:color="auto" w:fill="auto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auto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shd w:val="clear" w:color="auto" w:fill="auto"/>
            <w:noWrap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6" w:type="pct"/>
            <w:shd w:val="clear" w:color="auto" w:fill="auto"/>
            <w:noWrap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shd w:val="clear" w:color="auto" w:fill="auto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:rsidR="004E03BF" w:rsidRPr="004E03BF" w:rsidRDefault="004E03BF" w:rsidP="00373F8F">
            <w:pPr>
              <w:keepNext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4E03BF" w:rsidRPr="004E03BF" w:rsidRDefault="004E03BF" w:rsidP="00373F8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32658,30</w:t>
            </w:r>
          </w:p>
        </w:tc>
      </w:tr>
    </w:tbl>
    <w:p w:rsidR="008F555F" w:rsidRDefault="008F555F" w:rsidP="00434200">
      <w:pPr>
        <w:adjustRightInd w:val="0"/>
        <w:jc w:val="center"/>
        <w:outlineLvl w:val="0"/>
        <w:rPr>
          <w:spacing w:val="-4"/>
        </w:rPr>
      </w:pPr>
    </w:p>
    <w:p w:rsidR="00434200" w:rsidRPr="00434200" w:rsidRDefault="00434200" w:rsidP="00434200">
      <w:pPr>
        <w:adjustRightInd w:val="0"/>
        <w:jc w:val="left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434200">
        <w:rPr>
          <w:rFonts w:ascii="Times New Roman" w:hAnsi="Times New Roman" w:cs="Times New Roman"/>
          <w:spacing w:val="-4"/>
          <w:sz w:val="24"/>
          <w:szCs w:val="24"/>
        </w:rPr>
        <w:t xml:space="preserve">Контрактный управляющий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            </w:t>
      </w:r>
      <w:r w:rsidRPr="00434200">
        <w:rPr>
          <w:rFonts w:ascii="Times New Roman" w:hAnsi="Times New Roman" w:cs="Times New Roman"/>
          <w:spacing w:val="-4"/>
          <w:sz w:val="24"/>
          <w:szCs w:val="24"/>
        </w:rPr>
        <w:t>Густякова Л.В.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</w:pP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260763">
          <w:headerReference w:type="even" r:id="rId15"/>
          <w:pgSz w:w="16838" w:h="11906" w:orient="landscape"/>
          <w:pgMar w:top="1134" w:right="1134" w:bottom="567" w:left="993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9A" w:rsidRDefault="00A0689A">
      <w:pPr>
        <w:spacing w:after="0" w:line="240" w:lineRule="auto"/>
      </w:pPr>
      <w:r>
        <w:separator/>
      </w:r>
    </w:p>
  </w:endnote>
  <w:endnote w:type="continuationSeparator" w:id="1">
    <w:p w:rsidR="00A0689A" w:rsidRDefault="00A0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9A" w:rsidRDefault="00A0689A">
      <w:pPr>
        <w:spacing w:after="0" w:line="240" w:lineRule="auto"/>
      </w:pPr>
      <w:r>
        <w:separator/>
      </w:r>
    </w:p>
  </w:footnote>
  <w:footnote w:type="continuationSeparator" w:id="1">
    <w:p w:rsidR="00A0689A" w:rsidRDefault="00A0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77" w:rsidRDefault="00C35C77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35C77" w:rsidRDefault="00C35C7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4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9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2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7"/>
  </w:num>
  <w:num w:numId="5">
    <w:abstractNumId w:val="21"/>
  </w:num>
  <w:num w:numId="6">
    <w:abstractNumId w:val="25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7"/>
  </w:num>
  <w:num w:numId="15">
    <w:abstractNumId w:val="9"/>
  </w:num>
  <w:num w:numId="16">
    <w:abstractNumId w:val="12"/>
  </w:num>
  <w:num w:numId="17">
    <w:abstractNumId w:val="18"/>
  </w:num>
  <w:num w:numId="18">
    <w:abstractNumId w:val="14"/>
  </w:num>
  <w:num w:numId="19">
    <w:abstractNumId w:val="20"/>
  </w:num>
  <w:num w:numId="20">
    <w:abstractNumId w:val="11"/>
  </w:num>
  <w:num w:numId="21">
    <w:abstractNumId w:val="19"/>
  </w:num>
  <w:num w:numId="22">
    <w:abstractNumId w:val="24"/>
  </w:num>
  <w:num w:numId="23">
    <w:abstractNumId w:val="16"/>
  </w:num>
  <w:num w:numId="24">
    <w:abstractNumId w:val="6"/>
  </w:num>
  <w:num w:numId="25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64A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7D7F"/>
    <w:rsid w:val="00260763"/>
    <w:rsid w:val="00264D3C"/>
    <w:rsid w:val="00271629"/>
    <w:rsid w:val="002733A2"/>
    <w:rsid w:val="0027387F"/>
    <w:rsid w:val="00283A65"/>
    <w:rsid w:val="002B49F4"/>
    <w:rsid w:val="002C30EA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662C"/>
    <w:rsid w:val="00372715"/>
    <w:rsid w:val="00373F8F"/>
    <w:rsid w:val="00381C16"/>
    <w:rsid w:val="00381E6E"/>
    <w:rsid w:val="00390EA5"/>
    <w:rsid w:val="003A0EAF"/>
    <w:rsid w:val="003A3C36"/>
    <w:rsid w:val="003A47D0"/>
    <w:rsid w:val="003C6952"/>
    <w:rsid w:val="003D622B"/>
    <w:rsid w:val="003E335D"/>
    <w:rsid w:val="003E68D0"/>
    <w:rsid w:val="003F7CF4"/>
    <w:rsid w:val="0042469A"/>
    <w:rsid w:val="00430A4E"/>
    <w:rsid w:val="00434200"/>
    <w:rsid w:val="0043444F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4E03BF"/>
    <w:rsid w:val="00504DF6"/>
    <w:rsid w:val="00513E66"/>
    <w:rsid w:val="00534556"/>
    <w:rsid w:val="0053743C"/>
    <w:rsid w:val="00540838"/>
    <w:rsid w:val="00540C5C"/>
    <w:rsid w:val="00543C40"/>
    <w:rsid w:val="00544B47"/>
    <w:rsid w:val="005558DF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6712"/>
    <w:rsid w:val="006B6B48"/>
    <w:rsid w:val="006C575A"/>
    <w:rsid w:val="006D19E1"/>
    <w:rsid w:val="006E073E"/>
    <w:rsid w:val="006E4C86"/>
    <w:rsid w:val="00707443"/>
    <w:rsid w:val="00714284"/>
    <w:rsid w:val="007172F4"/>
    <w:rsid w:val="0072669E"/>
    <w:rsid w:val="00730A09"/>
    <w:rsid w:val="00731315"/>
    <w:rsid w:val="00735E12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F2F9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453FD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0689A"/>
    <w:rsid w:val="00A10CAE"/>
    <w:rsid w:val="00A131CE"/>
    <w:rsid w:val="00A14B40"/>
    <w:rsid w:val="00A14D0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71F5E"/>
    <w:rsid w:val="00B75395"/>
    <w:rsid w:val="00B82128"/>
    <w:rsid w:val="00B91DB9"/>
    <w:rsid w:val="00B93E00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35C77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A3859"/>
    <w:rsid w:val="00DB2644"/>
    <w:rsid w:val="00DC2460"/>
    <w:rsid w:val="00DC630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EF25E3"/>
    <w:rsid w:val="00F00250"/>
    <w:rsid w:val="00F02217"/>
    <w:rsid w:val="00F07A2F"/>
    <w:rsid w:val="00F17517"/>
    <w:rsid w:val="00F252E7"/>
    <w:rsid w:val="00F35F83"/>
    <w:rsid w:val="00F42140"/>
    <w:rsid w:val="00F4467C"/>
    <w:rsid w:val="00F46801"/>
    <w:rsid w:val="00F51087"/>
    <w:rsid w:val="00F55750"/>
    <w:rsid w:val="00F74A1F"/>
    <w:rsid w:val="00F82595"/>
    <w:rsid w:val="00F866B8"/>
    <w:rsid w:val="00F937C8"/>
    <w:rsid w:val="00FA0635"/>
    <w:rsid w:val="00FA281F"/>
    <w:rsid w:val="00FA3563"/>
    <w:rsid w:val="00FA4737"/>
    <w:rsid w:val="00FA7955"/>
    <w:rsid w:val="00FB52B0"/>
    <w:rsid w:val="00FC6564"/>
    <w:rsid w:val="00FE5455"/>
    <w:rsid w:val="00FF0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  <w:style w:type="paragraph" w:customStyle="1" w:styleId="msonormalmailrucssattributepostfix">
    <w:name w:val="msonormal_mailru_css_attribute_postfix"/>
    <w:basedOn w:val="a1"/>
    <w:rsid w:val="00FC656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34088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A7019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DA6C5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1229</TotalTime>
  <Pages>20</Pages>
  <Words>7345</Words>
  <Characters>41867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87</cp:revision>
  <cp:lastPrinted>2016-11-30T05:39:00Z</cp:lastPrinted>
  <dcterms:created xsi:type="dcterms:W3CDTF">2016-03-25T06:36:00Z</dcterms:created>
  <dcterms:modified xsi:type="dcterms:W3CDTF">2018-10-03T06:59:00Z</dcterms:modified>
</cp:coreProperties>
</file>